
<file path=[Content_Types].xml><?xml version="1.0" encoding="utf-8"?>
<Types xmlns="http://schemas.openxmlformats.org/package/2006/content-types">
  <Default Extension="xml" ContentType="application/xml"/>
  <Default Extension="emf" ContentType="image/x-emf"/>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360" w:lineRule="auto"/>
        <w:ind w:firstLine="0" w:firstLineChars="0"/>
        <w:jc w:val="left"/>
        <w:rPr>
          <w:rFonts w:hint="eastAsia" w:ascii="黑体" w:hAnsi="黑体" w:eastAsia="黑体" w:cs="黑体"/>
          <w:sz w:val="32"/>
          <w:szCs w:val="32"/>
        </w:rPr>
      </w:pPr>
    </w:p>
    <w:p>
      <w:pPr>
        <w:spacing w:line="360" w:lineRule="auto"/>
        <w:ind w:firstLine="0" w:firstLineChars="0"/>
        <w:jc w:val="left"/>
        <w:rPr>
          <w:rFonts w:ascii="黑体" w:hAnsi="黑体" w:eastAsia="黑体" w:cs="黑体"/>
          <w:sz w:val="32"/>
          <w:szCs w:val="32"/>
        </w:rPr>
      </w:pPr>
      <w:r>
        <w:rPr>
          <w:rFonts w:hint="eastAsia" w:ascii="黑体" w:hAnsi="黑体" w:eastAsia="黑体" w:cs="黑体"/>
          <w:sz w:val="32"/>
          <w:szCs w:val="32"/>
        </w:rPr>
        <w:t>附件1</w:t>
      </w:r>
    </w:p>
    <w:p>
      <w:pPr>
        <w:adjustRightInd w:val="0"/>
        <w:snapToGrid w:val="0"/>
        <w:ind w:firstLine="640"/>
        <w:jc w:val="center"/>
        <w:rPr>
          <w:rFonts w:hint="eastAsia" w:ascii="黑体" w:hAnsi="黑体" w:eastAsia="黑体"/>
          <w:sz w:val="32"/>
          <w:szCs w:val="32"/>
          <w:lang w:val="en-US" w:eastAsia="zh-CN"/>
        </w:rPr>
      </w:pPr>
      <w:r>
        <w:rPr>
          <w:rFonts w:hint="eastAsia" w:ascii="黑体" w:hAnsi="黑体" w:eastAsia="黑体"/>
          <w:sz w:val="32"/>
          <w:szCs w:val="32"/>
        </w:rPr>
        <w:t>蓝田县</w:t>
      </w:r>
      <w:r>
        <w:rPr>
          <w:rFonts w:hint="eastAsia" w:ascii="黑体" w:hAnsi="黑体" w:eastAsia="黑体"/>
          <w:sz w:val="32"/>
          <w:szCs w:val="32"/>
          <w:lang w:eastAsia="zh-CN"/>
        </w:rPr>
        <w:t>人民政府办公室</w:t>
      </w:r>
    </w:p>
    <w:p>
      <w:pPr>
        <w:adjustRightInd w:val="0"/>
        <w:snapToGrid w:val="0"/>
        <w:ind w:firstLine="640"/>
        <w:jc w:val="center"/>
        <w:rPr>
          <w:rFonts w:hint="eastAsia" w:ascii="黑体" w:hAnsi="黑体" w:eastAsia="黑体"/>
          <w:sz w:val="32"/>
          <w:szCs w:val="32"/>
        </w:rPr>
      </w:pPr>
      <w:r>
        <w:rPr>
          <w:rFonts w:hint="eastAsia" w:ascii="黑体" w:hAnsi="黑体" w:eastAsia="黑体"/>
          <w:sz w:val="32"/>
          <w:szCs w:val="32"/>
        </w:rPr>
        <w:t>2020年部门综合预算说明</w:t>
      </w:r>
    </w:p>
    <w:p>
      <w:pPr>
        <w:spacing w:line="360" w:lineRule="auto"/>
        <w:ind w:firstLine="640"/>
        <w:rPr>
          <w:rFonts w:ascii="仿宋" w:hAnsi="仿宋" w:eastAsia="仿宋" w:cs="仿宋"/>
          <w:sz w:val="32"/>
          <w:szCs w:val="32"/>
        </w:rPr>
      </w:pP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目  录</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第一部分   部门概况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一、部门主要职责及机构设置</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二、2020年年度部门工作任务</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三、部门预算单位构成</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四、部门人员情况说明</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第二部分   收支情况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五、2020年部门预算收支说明</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第三部分   其他说明情况</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六、部门预算“三公”经费等情况说明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七、部门国有资产占有使用及资产购置情况说明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八、部门政府采购情况说明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九、部门预算绩效目标说明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十、机关运行经费安排说明</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十一、专业名词解释</w:t>
      </w:r>
    </w:p>
    <w:p>
      <w:pPr>
        <w:spacing w:line="360" w:lineRule="auto"/>
        <w:ind w:firstLine="643"/>
        <w:jc w:val="center"/>
        <w:rPr>
          <w:rFonts w:ascii="仿宋" w:hAnsi="仿宋" w:eastAsia="仿宋" w:cs="仿宋"/>
          <w:sz w:val="32"/>
          <w:szCs w:val="32"/>
        </w:rPr>
      </w:pPr>
      <w:r>
        <w:rPr>
          <w:rFonts w:hint="eastAsia" w:ascii="仿宋" w:hAnsi="仿宋" w:eastAsia="仿宋" w:cs="仿宋"/>
          <w:b/>
          <w:bCs/>
          <w:sz w:val="32"/>
          <w:szCs w:val="32"/>
        </w:rPr>
        <w:t>第四部分   公开报表</w:t>
      </w:r>
    </w:p>
    <w:p>
      <w:pPr>
        <w:spacing w:line="360" w:lineRule="auto"/>
        <w:ind w:firstLine="640"/>
        <w:rPr>
          <w:rFonts w:ascii="仿宋" w:hAnsi="仿宋" w:eastAsia="仿宋" w:cs="仿宋"/>
          <w:sz w:val="32"/>
          <w:szCs w:val="32"/>
        </w:rPr>
      </w:pPr>
      <w:r>
        <w:rPr>
          <w:rFonts w:hint="eastAsia" w:ascii="仿宋" w:hAnsi="仿宋" w:eastAsia="仿宋" w:cs="仿宋"/>
          <w:sz w:val="32"/>
          <w:szCs w:val="32"/>
        </w:rPr>
        <w:t>（具体部门预算公开报表）</w:t>
      </w:r>
    </w:p>
    <w:p>
      <w:pPr>
        <w:spacing w:line="360" w:lineRule="auto"/>
        <w:ind w:firstLine="643"/>
        <w:jc w:val="center"/>
        <w:rPr>
          <w:rFonts w:ascii="仿宋" w:hAnsi="仿宋" w:eastAsia="仿宋" w:cs="仿宋"/>
          <w:sz w:val="32"/>
          <w:szCs w:val="32"/>
        </w:rPr>
      </w:pPr>
      <w:r>
        <w:rPr>
          <w:rFonts w:hint="eastAsia" w:ascii="仿宋" w:hAnsi="仿宋" w:eastAsia="仿宋" w:cs="仿宋"/>
          <w:b/>
          <w:bCs/>
          <w:sz w:val="32"/>
          <w:szCs w:val="32"/>
        </w:rPr>
        <w:t>第一部分  部门概况</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一、部门主要职责及机构设置</w:t>
      </w:r>
    </w:p>
    <w:p>
      <w:pPr>
        <w:widowControl/>
        <w:shd w:val="clear" w:color="auto" w:fill="FFFFFF"/>
        <w:spacing w:line="375" w:lineRule="atLeast"/>
        <w:ind w:firstLine="640" w:firstLineChars="200"/>
        <w:jc w:val="left"/>
        <w:rPr>
          <w:rFonts w:hint="eastAsia" w:ascii="黑体" w:hAnsi="宋体" w:eastAsia="黑体" w:cs="宋体"/>
          <w:color w:val="3D3D3C"/>
          <w:kern w:val="0"/>
          <w:sz w:val="32"/>
          <w:szCs w:val="32"/>
        </w:rPr>
      </w:pPr>
      <w:r>
        <w:rPr>
          <w:rFonts w:hint="eastAsia" w:ascii="黑体" w:eastAsia="黑体"/>
          <w:sz w:val="32"/>
          <w:szCs w:val="32"/>
        </w:rPr>
        <w:t>一、部门主要职责及机构设置</w:t>
      </w:r>
      <w:r>
        <w:rPr>
          <w:rFonts w:hint="eastAsia" w:ascii="黑体" w:hAnsi="宋体" w:eastAsia="黑体" w:cs="宋体"/>
          <w:color w:val="3D3D3C"/>
          <w:kern w:val="0"/>
          <w:sz w:val="32"/>
          <w:szCs w:val="32"/>
        </w:rPr>
        <w:t xml:space="preserve"> </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(一)秘书科。负责县政府各类来文来电的接收、登记、转办、印制、分发、传递、归档工作;负责复核以县政府名义印发的各类文稿;负责管理县政府、县政府党组的印鉴;负责县政府办公室保密工作。</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负责县政府全体会议、县政府常务会议、县政府党组会议等综合性会议的会务组织、记录及纪要起草工作;负责县政府领导集体出席重大活动的协调联络工作;整理汇总以县政府名义组织的会议及活动情况。</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负责复核以县政府办公室名义印发的各类文稿;负责管理县</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政府办公室、县政府办公室党支部的印鉴;负责县政府办公室机</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关日常事务的协调办理;负责县政府办公室主任办公会等会议的</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组织;负责县政府办公室内部制度建设;负责督促检查县政府办公室内部工作部署的贯彻落实;负责县政府办公室机关各类创建工作;负责接待、计生、工会等工作;负责县政府办公室机关及指导所属单位的党建、丸构编制、干部人事、劳动工资、教育培训、出国(境)审核办理等工作;负责县政府办公室机关及所属单位年度目标责任考核、日常考核和奖惩工作;负责组织县政府办公室党支部会议及学习;负责县政府办公室纪检监察工作;负责县委、县政府交办的重点工作任务。</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（二）综合一科（县政府研究室）。负责县政府主要领导同志的文稿起草和公务活动安排;根据领导同志批示和工作需要开展调查研究;办理相关方面的文电、会务和督查工作。</w:t>
      </w:r>
    </w:p>
    <w:p>
      <w:pPr>
        <w:widowControl/>
        <w:shd w:val="clear" w:color="auto" w:fill="FFFFFF"/>
        <w:spacing w:line="375" w:lineRule="atLeast"/>
        <w:ind w:left="0" w:leftChars="0" w:firstLine="0" w:firstLineChars="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牵头负责《政府工作报告》、县政府全体会、县委全委会讲话和县政府主要领导综合性讲话、汇报等重要文稿的起草;组织开展重大课题调查研究,形成调研报告。</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(三)综合二至四科。负责县政府有关领导同志的文稿起草和公务活动安排;办理相关方面的文电、会务、督查、调研工作;</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负责县政府及有关领导活动的信息收集、编报工作。</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四)县政府总值班室。负责县政府值班、应急工作;负责重要情况和紧急事件的信息报送工作,传达落实县政府领导同志批示;负责县政府领导同志和县政府各部门、各镇(街)政府(办事处)、各直属机构主要负责同志外出报备工作。</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(五)电子政务信息科。负责指导、协调、监督政务公开、信</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息公开工作;负责县政府系统政务信息的收集、编发工作;负责掌握舆情动态,开展调查研究,及时反映工作动态,为县政府领导决策提供依据;指导、监督全县政府网站管理工作;负责政府工作宣传的协调联络工作;负责组织“公民代表进政府”和“大学生到政府机关见习”等活动;指导和统筹全县政府系统电子政务工作,组织开展政府系统电子政务绩效评估;负责县级部门电子政务建设规划和项目管理;统筹协调电子政务网络的规划和管理。</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六)督查科。负责党中央、国务院、省委、省政府、市委、市政府领导和县委、县政府主要领导同志指示批示办理和督办落实工作;负责配合上级组织开展大督查、专项督查、常态化督查及核查问责工作;负责向市政府办公厅督查室报送信息;指导全</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县政府系统政务督查工作;负责督查业务的综合协调工作;负责市《政府工作报告》涉及事项及县《政府工作报告》目标任务督办工作;负责县政府全体会议、县政府常务会议、县政府党组会议等综合性会议议定事项的督办落实工作;负责政府系统巡视和审计重要问题整改的督查落实工作;负责县政府重大政策措施贯彻落实情况的督查工作;负责相关媒体舆情等处置督查工作;负责办理省、市“两会”交由县政府承办的建议提案;负责县“两会”交由政府系统承办的建议提案的协调交办、督办回复、总结考核等工作;负责与县人大常委会办公室、县政协办公室的日常联络和配合开展执法监督检查等工作;指导全县政府系统建议提案办理工作。</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(七)行政效能办公室(马上就办办公室),负责全县政府职能转变、“放管服”改革和优化营商环境工作的统筹谋划、协调指导、督查考核工作。</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八)事务管理科。负责全县机关事务管理工作;负责县级机关公共机构节约能源工作;负责公务用车改革有关工作;负责县级党政机关住房制度改革及管理工作；负责县政府办公室机关财务工作;负责指导县政府办公室下属单位财务工作;负责县政府办公室机关国有资产管理工作。</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（九)县志科。负责《蓝田县志》和《蓝田年鉴》的编纂（续修)、出版发行;负责《陕西年鉴》和《西安年鉴》有关条目的组稿、上报工作;指导、审查验收各部门志、行业志、镇街志、</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村志(史);搜集、保存地方志文献资料;保护利用地方志资源。</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rPr>
      </w:pPr>
      <w:r>
        <w:rPr>
          <w:rFonts w:hint="eastAsia" w:ascii="仿宋_GB2312" w:hAnsi="宋体" w:eastAsia="仿宋_GB2312" w:cs="宋体"/>
          <w:color w:val="3D3D3C"/>
          <w:kern w:val="0"/>
          <w:sz w:val="32"/>
          <w:szCs w:val="32"/>
        </w:rPr>
        <w:t xml:space="preserve"> </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二、2020年度部门工作任务</w:t>
      </w:r>
    </w:p>
    <w:p>
      <w:pPr>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1.发挥办公室“行政中枢”作用，在县政府领导下协调好县级各大班子及各镇街、各部门的关系，做好服务群众、服务基层、服务领导各项工作。</w:t>
      </w:r>
    </w:p>
    <w:p>
      <w:pPr>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2做好以县政府及县政府办公室名义印发的各类文件、领导讲话稿及有关综合材料的起草、核改工作；组织筹办好县政府全体会、县政府常务会、专题会等各类会议，全面提高办文办会的质量和效率。</w:t>
      </w:r>
    </w:p>
    <w:p>
      <w:pPr>
        <w:spacing w:line="600" w:lineRule="exact"/>
        <w:ind w:firstLine="640" w:firstLineChars="200"/>
        <w:rPr>
          <w:rFonts w:hint="eastAsia" w:ascii="仿宋_GB2312" w:hAnsi="仿宋" w:eastAsia="仿宋_GB2312"/>
          <w:sz w:val="32"/>
          <w:szCs w:val="32"/>
        </w:rPr>
      </w:pPr>
      <w:r>
        <w:rPr>
          <w:rFonts w:hint="eastAsia" w:ascii="仿宋_GB2312" w:hAnsi="仿宋" w:eastAsia="仿宋_GB2312"/>
          <w:sz w:val="32"/>
          <w:szCs w:val="32"/>
        </w:rPr>
        <w:t>3.对县政府有关决议、决定、重大决策、领导批示进行督办和落实。按时完成提议案办理工作，继续加大对县委、县政府重大决策、会议决定、重大工作部署落实情况、市县领导批示件和交办件完成情况的督查督办力度，确保各项工作落到实处。进一步提高建议提案办理质量，不断健全工作制度，创新工作方法，完善办理工作机制，规范办理工作程序，细化操作流程，及时总结办理工作经验，推动方式方法创新，不断提高提案办理工作质量和水平。</w:t>
      </w:r>
    </w:p>
    <w:p>
      <w:pPr>
        <w:spacing w:line="600" w:lineRule="exact"/>
        <w:ind w:firstLine="640" w:firstLineChars="200"/>
        <w:rPr>
          <w:rFonts w:hint="eastAsia" w:ascii="仿宋_GB2312" w:hAnsi="仿宋" w:eastAsia="仿宋_GB2312"/>
          <w:sz w:val="32"/>
          <w:szCs w:val="32"/>
        </w:rPr>
      </w:pPr>
      <w:r>
        <w:rPr>
          <w:rFonts w:hint="eastAsia" w:ascii="仿宋_GB2312" w:hAnsi="仿宋_GB2312" w:eastAsia="仿宋_GB2312" w:cs="仿宋_GB2312"/>
          <w:kern w:val="0"/>
          <w:sz w:val="32"/>
          <w:szCs w:val="32"/>
        </w:rPr>
        <w:t>4.</w:t>
      </w:r>
      <w:r>
        <w:rPr>
          <w:rFonts w:hint="eastAsia" w:ascii="仿宋_GB2312" w:eastAsia="仿宋_GB2312"/>
          <w:color w:val="000000"/>
          <w:sz w:val="32"/>
          <w:szCs w:val="32"/>
        </w:rPr>
        <w:t>建设法治政府，在依法行政上要有新突破。</w:t>
      </w:r>
      <w:r>
        <w:rPr>
          <w:rFonts w:hint="eastAsia" w:ascii="仿宋_GB2312" w:hAnsi="仿宋" w:eastAsia="仿宋_GB2312"/>
          <w:sz w:val="32"/>
          <w:szCs w:val="32"/>
        </w:rPr>
        <w:t>严格按照西安市规范性文件“三统一”的要求，进一步做好规范性文件的审查、备案及清理等各项工作，严格前期合法性审核。做好出庭应诉工作，维护司法审判权威，积极履行法院判决。加大法治宣传力度，不断提升各镇街、各部门法律顾问配备率，不断规范政府决策和依法行政工作。</w:t>
      </w:r>
    </w:p>
    <w:p>
      <w:pPr>
        <w:widowControl/>
        <w:shd w:val="clear" w:color="auto" w:fill="FFFFFF"/>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5.开展全县机关节能降耗、垃圾分类工作，严格按照蓝田县</w:t>
      </w:r>
      <w:r>
        <w:rPr>
          <w:rFonts w:hint="eastAsia" w:ascii="仿宋_GB2312" w:hAnsi="仿宋_GB2312" w:eastAsia="仿宋_GB2312" w:cs="仿宋_GB2312"/>
          <w:kern w:val="0"/>
          <w:sz w:val="32"/>
          <w:szCs w:val="32"/>
          <w:lang w:val="en-US" w:eastAsia="zh-CN"/>
        </w:rPr>
        <w:t>2020</w:t>
      </w:r>
      <w:bookmarkStart w:id="1" w:name="_GoBack"/>
      <w:bookmarkEnd w:id="1"/>
      <w:r>
        <w:rPr>
          <w:rFonts w:hint="eastAsia" w:ascii="仿宋_GB2312" w:hAnsi="仿宋_GB2312" w:eastAsia="仿宋_GB2312" w:cs="仿宋_GB2312"/>
          <w:kern w:val="0"/>
          <w:sz w:val="32"/>
          <w:szCs w:val="32"/>
        </w:rPr>
        <w:t>年公共机构节能目标任务及工作要点抓好落实，</w:t>
      </w:r>
      <w:r>
        <w:rPr>
          <w:rFonts w:hint="eastAsia" w:ascii="仿宋_GB2312" w:hAnsi="仿宋" w:eastAsia="仿宋_GB2312" w:cs="宋体"/>
          <w:color w:val="000000"/>
          <w:kern w:val="0"/>
          <w:sz w:val="32"/>
          <w:szCs w:val="32"/>
        </w:rPr>
        <w:t>推进节能减排工作，全面完成市考工作指标。</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6.做好《蓝田年鉴》编纂、出版工作。</w:t>
      </w:r>
    </w:p>
    <w:p>
      <w:pPr>
        <w:widowControl/>
        <w:shd w:val="clear" w:color="auto" w:fill="FFFFFF"/>
        <w:spacing w:line="560" w:lineRule="exact"/>
        <w:ind w:firstLine="640" w:firstLineChars="200"/>
        <w:rPr>
          <w:rFonts w:hint="eastAsia" w:ascii="仿宋_GB2312" w:hAnsi="仿宋_GB2312" w:eastAsia="仿宋_GB2312" w:cs="仿宋_GB2312"/>
          <w:kern w:val="0"/>
          <w:sz w:val="32"/>
          <w:szCs w:val="32"/>
        </w:rPr>
      </w:pPr>
      <w:r>
        <w:rPr>
          <w:rFonts w:hint="eastAsia" w:ascii="仿宋_GB2312" w:hAnsi="仿宋_GB2312" w:eastAsia="仿宋_GB2312" w:cs="仿宋_GB2312"/>
          <w:kern w:val="0"/>
          <w:sz w:val="32"/>
          <w:szCs w:val="32"/>
        </w:rPr>
        <w:t xml:space="preserve">7.发挥“三个”平台作用，加大全县政务信息和公共服务公开力度，提高群众对政府工作的知晓率和满意度。 </w:t>
      </w:r>
    </w:p>
    <w:p>
      <w:pPr>
        <w:spacing w:line="560" w:lineRule="exact"/>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kern w:val="0"/>
          <w:sz w:val="32"/>
          <w:szCs w:val="32"/>
        </w:rPr>
        <w:t>8.</w:t>
      </w:r>
      <w:r>
        <w:rPr>
          <w:rFonts w:hint="eastAsia" w:ascii="仿宋_GB2312" w:eastAsia="仿宋_GB2312"/>
          <w:color w:val="000000"/>
          <w:sz w:val="32"/>
          <w:szCs w:val="32"/>
        </w:rPr>
        <w:t xml:space="preserve"> 提高应对突发公共事件能力。</w:t>
      </w:r>
      <w:r>
        <w:rPr>
          <w:rFonts w:hint="eastAsia" w:ascii="仿宋_GB2312" w:hAnsi="仿宋_GB2312" w:eastAsia="仿宋_GB2312" w:cs="仿宋_GB2312"/>
          <w:sz w:val="32"/>
          <w:szCs w:val="32"/>
        </w:rPr>
        <w:t>进一步规范值守应急工作制度，加强对突发事件信息的分析与研判，严格按照省、市突发事件报送要求及时报送信息。开展省、市基层应急管理示范点创建，充分发挥基层应急管理示范点的典型带动作用。</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三、部门预算单位构成</w:t>
      </w:r>
    </w:p>
    <w:p>
      <w:pPr>
        <w:pStyle w:val="4"/>
        <w:widowControl/>
        <w:spacing w:before="300" w:line="375" w:lineRule="atLeast"/>
        <w:ind w:firstLine="420"/>
        <w:rPr>
          <w:rFonts w:hint="eastAsia" w:ascii="仿宋_GB2312" w:hAnsi="宋体" w:eastAsia="仿宋_GB2312" w:cs="宋体"/>
          <w:color w:val="3D3D3C"/>
          <w:sz w:val="32"/>
          <w:szCs w:val="32"/>
        </w:rPr>
      </w:pPr>
      <w:r>
        <w:rPr>
          <w:rFonts w:hint="eastAsia" w:ascii="仿宋_GB2312" w:eastAsia="仿宋_GB2312"/>
          <w:color w:val="3D3D3C"/>
          <w:sz w:val="32"/>
          <w:szCs w:val="32"/>
          <w:shd w:val="clear" w:color="auto" w:fill="FFFFFF"/>
        </w:rPr>
        <w:t>从预算单位构成看，本部门的部门预算包括</w:t>
      </w:r>
      <w:bookmarkStart w:id="0" w:name="OLE_LINK1"/>
      <w:r>
        <w:rPr>
          <w:rFonts w:hint="eastAsia" w:ascii="仿宋_GB2312" w:hAnsi="宋体" w:eastAsia="仿宋_GB2312" w:cs="宋体"/>
          <w:color w:val="3D3D3C"/>
          <w:sz w:val="32"/>
          <w:szCs w:val="32"/>
        </w:rPr>
        <w:t>蓝田县人民政府办公室</w:t>
      </w:r>
      <w:bookmarkEnd w:id="0"/>
      <w:r>
        <w:rPr>
          <w:rFonts w:hint="eastAsia" w:ascii="仿宋_GB2312" w:hAnsi="宋体" w:eastAsia="仿宋_GB2312" w:cs="宋体"/>
          <w:color w:val="3D3D3C"/>
          <w:sz w:val="32"/>
          <w:szCs w:val="32"/>
        </w:rPr>
        <w:t>和所属事业单位县政府信息中心；蓝田县人民政府办公室为行政单位，经费管理方式为财政拨款；信息中心为事业单位，经费管理方式为财政拨款。</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纳入本部门2019年部门预算编制范围的单位共有2个，包括：</w:t>
      </w:r>
    </w:p>
    <w:tbl>
      <w:tblPr>
        <w:tblStyle w:val="5"/>
        <w:tblW w:w="0" w:type="auto"/>
        <w:jc w:val="center"/>
        <w:tblCellSpacing w:w="0" w:type="dxa"/>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Layout w:type="fixed"/>
        <w:tblCellMar>
          <w:top w:w="30" w:type="dxa"/>
          <w:left w:w="30" w:type="dxa"/>
          <w:bottom w:w="30" w:type="dxa"/>
          <w:right w:w="30" w:type="dxa"/>
        </w:tblCellMar>
      </w:tblPr>
      <w:tblGrid>
        <w:gridCol w:w="1702"/>
        <w:gridCol w:w="5592"/>
      </w:tblGrid>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35" w:hRule="atLeast"/>
          <w:tblCellSpacing w:w="0" w:type="dxa"/>
          <w:jc w:val="center"/>
        </w:trPr>
        <w:tc>
          <w:tcPr>
            <w:tcW w:w="1702" w:type="dxa"/>
            <w:noWrap w:val="0"/>
            <w:vAlign w:val="center"/>
          </w:tcPr>
          <w:p>
            <w:pPr>
              <w:pStyle w:val="4"/>
              <w:widowControl/>
              <w:jc w:val="center"/>
              <w:rPr>
                <w:rFonts w:hint="eastAsia" w:ascii="仿宋_GB2312" w:eastAsia="仿宋_GB2312"/>
                <w:sz w:val="32"/>
                <w:szCs w:val="32"/>
              </w:rPr>
            </w:pPr>
            <w:r>
              <w:rPr>
                <w:rFonts w:hint="eastAsia" w:ascii="仿宋_GB2312" w:eastAsia="仿宋_GB2312"/>
                <w:color w:val="3D3D3C"/>
                <w:sz w:val="32"/>
                <w:szCs w:val="32"/>
              </w:rPr>
              <w:t xml:space="preserve">序号 </w:t>
            </w:r>
          </w:p>
        </w:tc>
        <w:tc>
          <w:tcPr>
            <w:tcW w:w="5592" w:type="dxa"/>
            <w:noWrap w:val="0"/>
            <w:vAlign w:val="center"/>
          </w:tcPr>
          <w:p>
            <w:pPr>
              <w:pStyle w:val="4"/>
              <w:widowControl/>
              <w:jc w:val="center"/>
              <w:rPr>
                <w:rFonts w:hint="eastAsia" w:ascii="仿宋_GB2312" w:eastAsia="仿宋_GB2312"/>
                <w:sz w:val="32"/>
                <w:szCs w:val="32"/>
              </w:rPr>
            </w:pPr>
            <w:r>
              <w:rPr>
                <w:rFonts w:hint="eastAsia" w:ascii="仿宋_GB2312" w:eastAsia="仿宋_GB2312"/>
                <w:color w:val="3D3D3C"/>
                <w:sz w:val="32"/>
                <w:szCs w:val="32"/>
              </w:rPr>
              <w:t xml:space="preserve">单位名称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909" w:hRule="atLeast"/>
          <w:tblCellSpacing w:w="0" w:type="dxa"/>
          <w:jc w:val="center"/>
        </w:trPr>
        <w:tc>
          <w:tcPr>
            <w:tcW w:w="1702" w:type="dxa"/>
            <w:noWrap w:val="0"/>
            <w:vAlign w:val="center"/>
          </w:tcPr>
          <w:p>
            <w:pPr>
              <w:pStyle w:val="4"/>
              <w:widowControl/>
              <w:jc w:val="center"/>
              <w:rPr>
                <w:rFonts w:hint="eastAsia" w:ascii="仿宋_GB2312" w:eastAsia="仿宋_GB2312"/>
                <w:sz w:val="32"/>
                <w:szCs w:val="32"/>
              </w:rPr>
            </w:pPr>
            <w:r>
              <w:rPr>
                <w:rFonts w:hint="eastAsia" w:ascii="仿宋_GB2312" w:eastAsia="仿宋_GB2312"/>
                <w:color w:val="3D3D3C"/>
                <w:sz w:val="32"/>
                <w:szCs w:val="32"/>
              </w:rPr>
              <w:t xml:space="preserve">1 </w:t>
            </w:r>
          </w:p>
        </w:tc>
        <w:tc>
          <w:tcPr>
            <w:tcW w:w="5592" w:type="dxa"/>
            <w:noWrap w:val="0"/>
            <w:vAlign w:val="center"/>
          </w:tcPr>
          <w:p>
            <w:pPr>
              <w:pStyle w:val="4"/>
              <w:widowControl/>
              <w:jc w:val="center"/>
              <w:rPr>
                <w:rFonts w:hint="eastAsia" w:ascii="仿宋_GB2312" w:eastAsia="仿宋_GB2312"/>
                <w:sz w:val="32"/>
                <w:szCs w:val="32"/>
              </w:rPr>
            </w:pPr>
            <w:r>
              <w:rPr>
                <w:rFonts w:hint="eastAsia" w:ascii="仿宋_GB2312" w:eastAsia="仿宋_GB2312"/>
                <w:color w:val="3D3D3C"/>
                <w:sz w:val="32"/>
                <w:szCs w:val="32"/>
              </w:rPr>
              <w:t xml:space="preserve">蓝田县人民政府办公室（机关） </w:t>
            </w:r>
          </w:p>
        </w:tc>
      </w:tr>
      <w:tr>
        <w:tblPrEx>
          <w:tblBorders>
            <w:top w:val="outset" w:color="000000" w:sz="6" w:space="0"/>
            <w:left w:val="outset" w:color="000000" w:sz="6" w:space="0"/>
            <w:bottom w:val="outset" w:color="000000" w:sz="6" w:space="0"/>
            <w:right w:val="outset" w:color="000000" w:sz="6" w:space="0"/>
            <w:insideH w:val="outset" w:color="000000" w:sz="6" w:space="0"/>
            <w:insideV w:val="outset" w:color="000000" w:sz="6" w:space="0"/>
          </w:tblBorders>
          <w:tblCellMar>
            <w:top w:w="30" w:type="dxa"/>
            <w:left w:w="30" w:type="dxa"/>
            <w:bottom w:w="30" w:type="dxa"/>
            <w:right w:w="30" w:type="dxa"/>
          </w:tblCellMar>
        </w:tblPrEx>
        <w:trPr>
          <w:trHeight w:val="620" w:hRule="atLeast"/>
          <w:tblCellSpacing w:w="0" w:type="dxa"/>
          <w:jc w:val="center"/>
        </w:trPr>
        <w:tc>
          <w:tcPr>
            <w:tcW w:w="1702" w:type="dxa"/>
            <w:noWrap w:val="0"/>
            <w:vAlign w:val="center"/>
          </w:tcPr>
          <w:p>
            <w:pPr>
              <w:pStyle w:val="4"/>
              <w:widowControl/>
              <w:jc w:val="center"/>
              <w:rPr>
                <w:rFonts w:hint="eastAsia" w:ascii="仿宋_GB2312" w:eastAsia="仿宋_GB2312"/>
                <w:sz w:val="32"/>
                <w:szCs w:val="32"/>
              </w:rPr>
            </w:pPr>
            <w:r>
              <w:rPr>
                <w:rFonts w:hint="eastAsia" w:ascii="仿宋_GB2312" w:eastAsia="仿宋_GB2312"/>
                <w:color w:val="3D3D3C"/>
                <w:sz w:val="32"/>
                <w:szCs w:val="32"/>
              </w:rPr>
              <w:t xml:space="preserve">2 </w:t>
            </w:r>
          </w:p>
        </w:tc>
        <w:tc>
          <w:tcPr>
            <w:tcW w:w="5592" w:type="dxa"/>
            <w:noWrap w:val="0"/>
            <w:vAlign w:val="center"/>
          </w:tcPr>
          <w:p>
            <w:pPr>
              <w:pStyle w:val="4"/>
              <w:widowControl/>
              <w:jc w:val="center"/>
              <w:rPr>
                <w:rFonts w:hint="eastAsia" w:ascii="仿宋_GB2312" w:eastAsia="仿宋_GB2312"/>
                <w:sz w:val="32"/>
                <w:szCs w:val="32"/>
              </w:rPr>
            </w:pPr>
            <w:r>
              <w:rPr>
                <w:rFonts w:hint="eastAsia" w:ascii="仿宋_GB2312" w:eastAsia="仿宋_GB2312"/>
                <w:color w:val="3D3D3C"/>
                <w:sz w:val="32"/>
                <w:szCs w:val="32"/>
              </w:rPr>
              <w:t xml:space="preserve">县政府信息中心 </w:t>
            </w:r>
          </w:p>
        </w:tc>
      </w:tr>
    </w:tbl>
    <w:p>
      <w:pPr>
        <w:numPr>
          <w:ilvl w:val="0"/>
          <w:numId w:val="1"/>
        </w:numPr>
        <w:spacing w:line="360" w:lineRule="auto"/>
        <w:ind w:firstLine="643"/>
        <w:rPr>
          <w:rFonts w:hint="eastAsia" w:ascii="仿宋" w:hAnsi="仿宋" w:eastAsia="仿宋" w:cs="仿宋"/>
          <w:b/>
          <w:bCs/>
          <w:sz w:val="32"/>
          <w:szCs w:val="32"/>
        </w:rPr>
      </w:pPr>
      <w:r>
        <w:rPr>
          <w:rFonts w:hint="eastAsia" w:ascii="仿宋" w:hAnsi="仿宋" w:eastAsia="仿宋" w:cs="仿宋"/>
          <w:b/>
          <w:bCs/>
          <w:sz w:val="32"/>
          <w:szCs w:val="32"/>
        </w:rPr>
        <w:t>部门人员情况说明</w:t>
      </w:r>
    </w:p>
    <w:p>
      <w:pPr>
        <w:ind w:firstLine="640" w:firstLineChars="200"/>
        <w:rPr>
          <w:rFonts w:hint="eastAsia" w:ascii="仿宋_GB2312" w:eastAsia="仿宋_GB2312"/>
          <w:sz w:val="32"/>
          <w:szCs w:val="32"/>
        </w:rPr>
      </w:pPr>
      <w:r>
        <w:rPr>
          <w:rFonts w:hint="eastAsia" w:ascii="仿宋" w:hAnsi="仿宋" w:eastAsia="仿宋" w:cs="仿宋"/>
          <w:b/>
          <w:bCs/>
          <w:sz w:val="32"/>
          <w:szCs w:val="32"/>
          <w:lang w:val="en-US" w:eastAsia="zh-CN"/>
        </w:rPr>
        <w:t xml:space="preserve">        </w:t>
      </w:r>
      <w:r>
        <w:rPr>
          <w:rFonts w:hint="eastAsia" w:ascii="仿宋_GB2312" w:eastAsia="仿宋_GB2312"/>
          <w:sz w:val="32"/>
          <w:szCs w:val="32"/>
        </w:rPr>
        <w:t>截止201</w:t>
      </w:r>
      <w:r>
        <w:rPr>
          <w:rFonts w:hint="eastAsia" w:ascii="仿宋_GB2312" w:eastAsia="仿宋_GB2312"/>
          <w:sz w:val="32"/>
          <w:szCs w:val="32"/>
          <w:lang w:val="en-US" w:eastAsia="zh-CN"/>
        </w:rPr>
        <w:t>9</w:t>
      </w:r>
      <w:r>
        <w:rPr>
          <w:rFonts w:hint="eastAsia" w:ascii="仿宋_GB2312" w:eastAsia="仿宋_GB2312"/>
          <w:sz w:val="32"/>
          <w:szCs w:val="32"/>
        </w:rPr>
        <w:t>年底，本部门人员编制58人，其中行政编制43人，事业编制15人；实有人员</w:t>
      </w:r>
      <w:r>
        <w:rPr>
          <w:rFonts w:hint="eastAsia" w:ascii="仿宋_GB2312" w:eastAsia="仿宋_GB2312"/>
          <w:sz w:val="32"/>
          <w:szCs w:val="32"/>
          <w:lang w:val="en-US" w:eastAsia="zh-CN"/>
        </w:rPr>
        <w:t>70</w:t>
      </w:r>
      <w:r>
        <w:rPr>
          <w:rFonts w:hint="eastAsia" w:ascii="仿宋_GB2312" w:eastAsia="仿宋_GB2312"/>
          <w:sz w:val="32"/>
          <w:szCs w:val="32"/>
        </w:rPr>
        <w:t>人，其中行政</w:t>
      </w:r>
      <w:r>
        <w:rPr>
          <w:rFonts w:hint="eastAsia" w:ascii="仿宋_GB2312" w:eastAsia="仿宋_GB2312"/>
          <w:sz w:val="32"/>
          <w:szCs w:val="32"/>
          <w:lang w:val="en-US" w:eastAsia="zh-CN"/>
        </w:rPr>
        <w:t>40</w:t>
      </w:r>
      <w:r>
        <w:rPr>
          <w:rFonts w:hint="eastAsia" w:ascii="仿宋_GB2312" w:eastAsia="仿宋_GB2312"/>
          <w:sz w:val="32"/>
          <w:szCs w:val="32"/>
        </w:rPr>
        <w:t>人、事业</w:t>
      </w:r>
      <w:r>
        <w:rPr>
          <w:rFonts w:hint="eastAsia" w:ascii="仿宋_GB2312" w:eastAsia="仿宋_GB2312"/>
          <w:sz w:val="32"/>
          <w:szCs w:val="32"/>
          <w:lang w:val="en-US" w:eastAsia="zh-CN"/>
        </w:rPr>
        <w:t>30</w:t>
      </w:r>
      <w:r>
        <w:rPr>
          <w:rFonts w:hint="eastAsia" w:ascii="仿宋_GB2312" w:eastAsia="仿宋_GB2312"/>
          <w:sz w:val="32"/>
          <w:szCs w:val="32"/>
        </w:rPr>
        <w:t>人。单位管理的离退休人员19人。遗属补助人员9人。六十年代精简人员2人。</w:t>
      </w:r>
    </w:p>
    <w:p>
      <w:pPr>
        <w:numPr>
          <w:ilvl w:val="0"/>
          <w:numId w:val="0"/>
        </w:numPr>
        <w:spacing w:line="360" w:lineRule="auto"/>
        <w:rPr>
          <w:rFonts w:hint="default" w:ascii="仿宋" w:hAnsi="仿宋" w:eastAsia="仿宋" w:cs="仿宋"/>
          <w:b/>
          <w:bCs/>
          <w:sz w:val="32"/>
          <w:szCs w:val="32"/>
          <w:lang w:val="en-US" w:eastAsia="zh-CN"/>
        </w:rPr>
      </w:pPr>
    </w:p>
    <w:p>
      <w:pPr>
        <w:spacing w:line="360" w:lineRule="auto"/>
        <w:ind w:firstLine="643"/>
        <w:jc w:val="center"/>
        <w:rPr>
          <w:rFonts w:ascii="仿宋" w:hAnsi="仿宋" w:eastAsia="仿宋" w:cs="仿宋"/>
          <w:b/>
          <w:bCs/>
          <w:sz w:val="32"/>
          <w:szCs w:val="32"/>
        </w:rPr>
      </w:pPr>
      <w:r>
        <w:drawing>
          <wp:inline distT="0" distB="0" distL="114300" distR="114300">
            <wp:extent cx="5273675" cy="2508250"/>
            <wp:effectExtent l="0" t="0" r="3175" b="6350"/>
            <wp:docPr id="1"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pic:cNvPicPr>
                      <a:picLocks noChangeAspect="1"/>
                    </pic:cNvPicPr>
                  </pic:nvPicPr>
                  <pic:blipFill>
                    <a:blip r:embed="rId10"/>
                    <a:stretch>
                      <a:fillRect/>
                    </a:stretch>
                  </pic:blipFill>
                  <pic:spPr>
                    <a:xfrm>
                      <a:off x="0" y="0"/>
                      <a:ext cx="5273675" cy="2508250"/>
                    </a:xfrm>
                    <a:prstGeom prst="rect">
                      <a:avLst/>
                    </a:prstGeom>
                    <a:noFill/>
                    <a:ln>
                      <a:noFill/>
                    </a:ln>
                  </pic:spPr>
                </pic:pic>
              </a:graphicData>
            </a:graphic>
          </wp:inline>
        </w:drawing>
      </w:r>
      <w:r>
        <w:rPr>
          <w:rFonts w:hint="eastAsia" w:ascii="仿宋" w:hAnsi="仿宋" w:eastAsia="仿宋" w:cs="仿宋"/>
          <w:b/>
          <w:bCs/>
          <w:sz w:val="32"/>
          <w:szCs w:val="32"/>
        </w:rPr>
        <w:t>第二部分  收支情况</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五、2020年部门预算收支说明</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（一）收支预算总体情况。</w:t>
      </w:r>
    </w:p>
    <w:p>
      <w:pPr>
        <w:ind w:firstLine="480" w:firstLineChars="150"/>
        <w:rPr>
          <w:rFonts w:hint="eastAsia" w:ascii="仿宋_GB2312" w:eastAsia="仿宋_GB2312"/>
          <w:sz w:val="32"/>
          <w:szCs w:val="32"/>
        </w:rPr>
      </w:pPr>
      <w:r>
        <w:rPr>
          <w:rFonts w:hint="eastAsia" w:ascii="仿宋_GB2312" w:eastAsia="仿宋_GB2312"/>
          <w:sz w:val="32"/>
          <w:szCs w:val="32"/>
        </w:rPr>
        <w:t>（一）收支预算总体情况。</w:t>
      </w:r>
    </w:p>
    <w:p>
      <w:pPr>
        <w:widowControl/>
        <w:shd w:val="clear" w:color="auto" w:fill="FFFFFF"/>
        <w:spacing w:line="375" w:lineRule="atLeast"/>
        <w:ind w:firstLine="640" w:firstLineChars="200"/>
        <w:jc w:val="left"/>
        <w:rPr>
          <w:rFonts w:hint="eastAsia" w:ascii="仿宋_GB2312" w:hAnsi="宋体" w:eastAsia="仿宋_GB2312" w:cs="宋体"/>
          <w:color w:val="3D3D3C"/>
          <w:kern w:val="0"/>
          <w:sz w:val="32"/>
          <w:szCs w:val="32"/>
          <w:shd w:val="clear" w:color="auto" w:fill="FFFFFF"/>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年本部门预算收入</w:t>
      </w:r>
      <w:r>
        <w:rPr>
          <w:rFonts w:hint="eastAsia" w:ascii="仿宋_GB2312" w:eastAsia="仿宋_GB2312"/>
          <w:sz w:val="32"/>
          <w:szCs w:val="32"/>
          <w:lang w:val="en-US" w:eastAsia="zh-CN"/>
        </w:rPr>
        <w:t>759.35</w:t>
      </w:r>
      <w:r>
        <w:rPr>
          <w:rFonts w:hint="eastAsia" w:ascii="仿宋_GB2312" w:eastAsia="仿宋_GB2312"/>
          <w:sz w:val="32"/>
          <w:szCs w:val="32"/>
        </w:rPr>
        <w:t>万元，一般公共预算拨款收入</w:t>
      </w:r>
      <w:r>
        <w:rPr>
          <w:rFonts w:hint="eastAsia" w:ascii="仿宋_GB2312" w:eastAsia="仿宋_GB2312"/>
          <w:sz w:val="32"/>
          <w:szCs w:val="32"/>
          <w:lang w:val="en-US" w:eastAsia="zh-CN"/>
        </w:rPr>
        <w:t>759.35</w:t>
      </w:r>
      <w:r>
        <w:rPr>
          <w:rFonts w:hint="eastAsia" w:ascii="仿宋_GB2312" w:eastAsia="仿宋_GB2312"/>
          <w:sz w:val="32"/>
          <w:szCs w:val="32"/>
        </w:rPr>
        <w:t>万元，</w:t>
      </w:r>
      <w:r>
        <w:rPr>
          <w:rFonts w:hint="eastAsia" w:ascii="仿宋_GB2312" w:eastAsia="仿宋_GB2312"/>
          <w:sz w:val="32"/>
          <w:szCs w:val="32"/>
          <w:lang w:val="en-US" w:eastAsia="zh-CN"/>
        </w:rPr>
        <w:t>2020</w:t>
      </w:r>
      <w:r>
        <w:rPr>
          <w:rFonts w:hint="eastAsia" w:ascii="仿宋_GB2312" w:eastAsia="仿宋_GB2312"/>
          <w:sz w:val="32"/>
          <w:szCs w:val="32"/>
        </w:rPr>
        <w:t>年本部门预算收入较上年增加</w:t>
      </w:r>
      <w:r>
        <w:rPr>
          <w:rFonts w:hint="eastAsia" w:ascii="仿宋_GB2312" w:eastAsia="仿宋_GB2312"/>
          <w:sz w:val="32"/>
          <w:szCs w:val="32"/>
          <w:lang w:val="en-US" w:eastAsia="zh-CN"/>
        </w:rPr>
        <w:t>18.98</w:t>
      </w:r>
      <w:r>
        <w:rPr>
          <w:rFonts w:hint="eastAsia" w:ascii="仿宋_GB2312" w:eastAsia="仿宋_GB2312"/>
          <w:sz w:val="32"/>
          <w:szCs w:val="32"/>
        </w:rPr>
        <w:t>万元，主要原因是人员增加、工资增长；</w:t>
      </w:r>
      <w:r>
        <w:rPr>
          <w:rFonts w:hint="eastAsia" w:ascii="仿宋_GB2312" w:eastAsia="仿宋_GB2312"/>
          <w:sz w:val="32"/>
          <w:szCs w:val="32"/>
          <w:lang w:val="en-US" w:eastAsia="zh-CN"/>
        </w:rPr>
        <w:t>2020</w:t>
      </w:r>
      <w:r>
        <w:rPr>
          <w:rFonts w:hint="eastAsia" w:ascii="仿宋_GB2312" w:eastAsia="仿宋_GB2312"/>
          <w:sz w:val="32"/>
          <w:szCs w:val="32"/>
        </w:rPr>
        <w:t>年本部门预算支出</w:t>
      </w:r>
      <w:r>
        <w:rPr>
          <w:rFonts w:hint="eastAsia" w:ascii="仿宋_GB2312" w:eastAsia="仿宋_GB2312"/>
          <w:sz w:val="32"/>
          <w:szCs w:val="32"/>
          <w:lang w:val="en-US" w:eastAsia="zh-CN"/>
        </w:rPr>
        <w:t>759.35</w:t>
      </w:r>
      <w:r>
        <w:rPr>
          <w:rFonts w:hint="eastAsia" w:ascii="仿宋_GB2312" w:eastAsia="仿宋_GB2312"/>
          <w:sz w:val="32"/>
          <w:szCs w:val="32"/>
        </w:rPr>
        <w:t>万元，其中一般公共预算拨款支出</w:t>
      </w:r>
      <w:r>
        <w:rPr>
          <w:rFonts w:hint="eastAsia" w:ascii="仿宋_GB2312" w:eastAsia="仿宋_GB2312"/>
          <w:sz w:val="32"/>
          <w:szCs w:val="32"/>
          <w:lang w:val="en-US" w:eastAsia="zh-CN"/>
        </w:rPr>
        <w:t>759.35</w:t>
      </w:r>
      <w:r>
        <w:rPr>
          <w:rFonts w:hint="eastAsia" w:ascii="仿宋_GB2312" w:eastAsia="仿宋_GB2312"/>
          <w:sz w:val="32"/>
          <w:szCs w:val="32"/>
        </w:rPr>
        <w:t>万元，</w:t>
      </w:r>
      <w:r>
        <w:rPr>
          <w:rFonts w:hint="eastAsia" w:ascii="仿宋_GB2312" w:eastAsia="仿宋_GB2312"/>
          <w:sz w:val="32"/>
          <w:szCs w:val="32"/>
          <w:lang w:val="en-US" w:eastAsia="zh-CN"/>
        </w:rPr>
        <w:t>2020</w:t>
      </w:r>
      <w:r>
        <w:rPr>
          <w:rFonts w:hint="eastAsia" w:ascii="仿宋_GB2312" w:eastAsia="仿宋_GB2312"/>
          <w:sz w:val="32"/>
          <w:szCs w:val="32"/>
        </w:rPr>
        <w:t>年本部门预算支出较上年增加</w:t>
      </w:r>
      <w:r>
        <w:rPr>
          <w:rFonts w:hint="eastAsia" w:ascii="仿宋_GB2312" w:eastAsia="仿宋_GB2312"/>
          <w:sz w:val="32"/>
          <w:szCs w:val="32"/>
          <w:lang w:val="en-US" w:eastAsia="zh-CN"/>
        </w:rPr>
        <w:t>18.98</w:t>
      </w:r>
      <w:r>
        <w:rPr>
          <w:rFonts w:hint="eastAsia" w:ascii="仿宋_GB2312" w:eastAsia="仿宋_GB2312"/>
          <w:sz w:val="32"/>
          <w:szCs w:val="32"/>
        </w:rPr>
        <w:t>万元，主要原因是人员增加、工资增长。</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（二）财政拨款收支情况。</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lang w:val="en-US" w:eastAsia="zh-CN"/>
        </w:rPr>
        <w:t>2020</w:t>
      </w:r>
      <w:r>
        <w:rPr>
          <w:rFonts w:hint="eastAsia" w:ascii="仿宋_GB2312" w:eastAsia="仿宋_GB2312"/>
          <w:sz w:val="32"/>
          <w:szCs w:val="32"/>
        </w:rPr>
        <w:t>年本部门财政拨款收入</w:t>
      </w:r>
      <w:r>
        <w:rPr>
          <w:rFonts w:hint="eastAsia" w:ascii="仿宋_GB2312" w:eastAsia="仿宋_GB2312"/>
          <w:sz w:val="32"/>
          <w:szCs w:val="32"/>
          <w:lang w:val="en-US" w:eastAsia="zh-CN"/>
        </w:rPr>
        <w:t>759.35</w:t>
      </w:r>
      <w:r>
        <w:rPr>
          <w:rFonts w:hint="eastAsia" w:ascii="仿宋_GB2312" w:eastAsia="仿宋_GB2312"/>
          <w:sz w:val="32"/>
          <w:szCs w:val="32"/>
        </w:rPr>
        <w:t>万元，一般公共预算拨款收入</w:t>
      </w:r>
      <w:r>
        <w:rPr>
          <w:rFonts w:hint="eastAsia" w:ascii="仿宋_GB2312" w:eastAsia="仿宋_GB2312"/>
          <w:sz w:val="32"/>
          <w:szCs w:val="32"/>
          <w:lang w:val="en-US" w:eastAsia="zh-CN"/>
        </w:rPr>
        <w:t>759.35</w:t>
      </w:r>
      <w:r>
        <w:rPr>
          <w:rFonts w:hint="eastAsia" w:ascii="仿宋_GB2312" w:eastAsia="仿宋_GB2312"/>
          <w:sz w:val="32"/>
          <w:szCs w:val="32"/>
        </w:rPr>
        <w:t>万元，</w:t>
      </w:r>
      <w:r>
        <w:rPr>
          <w:rFonts w:hint="eastAsia" w:ascii="仿宋_GB2312" w:eastAsia="仿宋_GB2312"/>
          <w:sz w:val="32"/>
          <w:szCs w:val="32"/>
          <w:lang w:val="en-US" w:eastAsia="zh-CN"/>
        </w:rPr>
        <w:t>2020</w:t>
      </w:r>
      <w:r>
        <w:rPr>
          <w:rFonts w:hint="eastAsia" w:ascii="仿宋_GB2312" w:eastAsia="仿宋_GB2312"/>
          <w:sz w:val="32"/>
          <w:szCs w:val="32"/>
        </w:rPr>
        <w:t>年本部门财政拨款收入较上年增加</w:t>
      </w:r>
      <w:r>
        <w:rPr>
          <w:rFonts w:hint="eastAsia" w:ascii="仿宋_GB2312" w:eastAsia="仿宋_GB2312"/>
          <w:sz w:val="32"/>
          <w:szCs w:val="32"/>
          <w:lang w:val="en-US" w:eastAsia="zh-CN"/>
        </w:rPr>
        <w:t>18.98</w:t>
      </w:r>
      <w:r>
        <w:rPr>
          <w:rFonts w:hint="eastAsia" w:ascii="仿宋_GB2312" w:eastAsia="仿宋_GB2312"/>
          <w:sz w:val="32"/>
          <w:szCs w:val="32"/>
        </w:rPr>
        <w:t>万元，主要原因是人员增加、工资增长；</w:t>
      </w:r>
      <w:r>
        <w:rPr>
          <w:rFonts w:hint="eastAsia" w:ascii="仿宋_GB2312" w:eastAsia="仿宋_GB2312"/>
          <w:sz w:val="32"/>
          <w:szCs w:val="32"/>
          <w:lang w:val="en-US" w:eastAsia="zh-CN"/>
        </w:rPr>
        <w:t>2020</w:t>
      </w:r>
      <w:r>
        <w:rPr>
          <w:rFonts w:hint="eastAsia" w:ascii="仿宋_GB2312" w:eastAsia="仿宋_GB2312"/>
          <w:sz w:val="32"/>
          <w:szCs w:val="32"/>
        </w:rPr>
        <w:t>年本部门财政拨款支出</w:t>
      </w:r>
      <w:r>
        <w:rPr>
          <w:rFonts w:hint="eastAsia" w:ascii="仿宋_GB2312" w:eastAsia="仿宋_GB2312"/>
          <w:sz w:val="32"/>
          <w:szCs w:val="32"/>
          <w:lang w:val="en-US" w:eastAsia="zh-CN"/>
        </w:rPr>
        <w:t>759.35</w:t>
      </w:r>
      <w:r>
        <w:rPr>
          <w:rFonts w:hint="eastAsia" w:ascii="仿宋_GB2312" w:eastAsia="仿宋_GB2312"/>
          <w:sz w:val="32"/>
          <w:szCs w:val="32"/>
        </w:rPr>
        <w:t>万元，一般公共预算拨款支出</w:t>
      </w:r>
      <w:r>
        <w:rPr>
          <w:rFonts w:hint="eastAsia" w:ascii="仿宋_GB2312" w:eastAsia="仿宋_GB2312"/>
          <w:sz w:val="32"/>
          <w:szCs w:val="32"/>
          <w:lang w:val="en-US" w:eastAsia="zh-CN"/>
        </w:rPr>
        <w:t>759.35</w:t>
      </w:r>
      <w:r>
        <w:rPr>
          <w:rFonts w:hint="eastAsia" w:ascii="仿宋_GB2312" w:eastAsia="仿宋_GB2312"/>
          <w:sz w:val="32"/>
          <w:szCs w:val="32"/>
        </w:rPr>
        <w:t>万元，</w:t>
      </w:r>
      <w:r>
        <w:rPr>
          <w:rFonts w:hint="eastAsia" w:ascii="仿宋_GB2312" w:eastAsia="仿宋_GB2312"/>
          <w:sz w:val="32"/>
          <w:szCs w:val="32"/>
          <w:lang w:val="en-US" w:eastAsia="zh-CN"/>
        </w:rPr>
        <w:t>2020</w:t>
      </w:r>
      <w:r>
        <w:rPr>
          <w:rFonts w:hint="eastAsia" w:ascii="仿宋_GB2312" w:eastAsia="仿宋_GB2312"/>
          <w:sz w:val="32"/>
          <w:szCs w:val="32"/>
        </w:rPr>
        <w:t>年本部门财政拨款支出较上年增加</w:t>
      </w:r>
      <w:r>
        <w:rPr>
          <w:rFonts w:hint="eastAsia" w:ascii="仿宋_GB2312" w:eastAsia="仿宋_GB2312"/>
          <w:sz w:val="32"/>
          <w:szCs w:val="32"/>
          <w:lang w:val="en-US" w:eastAsia="zh-CN"/>
        </w:rPr>
        <w:t>18.98</w:t>
      </w:r>
      <w:r>
        <w:rPr>
          <w:rFonts w:hint="eastAsia" w:ascii="仿宋_GB2312" w:eastAsia="仿宋_GB2312"/>
          <w:sz w:val="32"/>
          <w:szCs w:val="32"/>
        </w:rPr>
        <w:t>万元，主要原因是人员增加、工资增长。</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（三）一般公共预算拨款支出明细情况。</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1、一般公共预算当年拨款规模变化情况。</w:t>
      </w:r>
    </w:p>
    <w:p>
      <w:pPr>
        <w:adjustRightInd w:val="0"/>
        <w:snapToGrid w:val="0"/>
        <w:spacing w:line="360" w:lineRule="auto"/>
        <w:rPr>
          <w:rFonts w:hint="eastAsia" w:ascii="仿宋_GB2312" w:eastAsia="仿宋_GB2312"/>
          <w:sz w:val="32"/>
          <w:szCs w:val="32"/>
        </w:rPr>
      </w:pPr>
      <w:r>
        <w:rPr>
          <w:rFonts w:hint="eastAsia" w:ascii="仿宋_GB2312" w:eastAsia="仿宋_GB2312"/>
          <w:sz w:val="32"/>
          <w:szCs w:val="32"/>
        </w:rPr>
        <w:t xml:space="preserve">    </w:t>
      </w:r>
      <w:r>
        <w:rPr>
          <w:rFonts w:hint="eastAsia" w:ascii="仿宋_GB2312" w:eastAsia="仿宋_GB2312"/>
          <w:sz w:val="32"/>
          <w:szCs w:val="32"/>
          <w:lang w:val="en-US" w:eastAsia="zh-CN"/>
        </w:rPr>
        <w:t>2020</w:t>
      </w:r>
      <w:r>
        <w:rPr>
          <w:rFonts w:hint="eastAsia" w:ascii="仿宋_GB2312" w:eastAsia="仿宋_GB2312"/>
          <w:sz w:val="32"/>
          <w:szCs w:val="32"/>
        </w:rPr>
        <w:t>年本部门一般公共预算拨款支出</w:t>
      </w:r>
      <w:r>
        <w:rPr>
          <w:rFonts w:hint="eastAsia" w:ascii="仿宋_GB2312" w:eastAsia="仿宋_GB2312"/>
          <w:sz w:val="32"/>
          <w:szCs w:val="32"/>
          <w:lang w:val="en-US" w:eastAsia="zh-CN"/>
        </w:rPr>
        <w:t>759.35</w:t>
      </w:r>
      <w:r>
        <w:rPr>
          <w:rFonts w:hint="eastAsia" w:ascii="仿宋_GB2312" w:eastAsia="仿宋_GB2312"/>
          <w:sz w:val="32"/>
          <w:szCs w:val="32"/>
        </w:rPr>
        <w:t>万元，较上年增加</w:t>
      </w:r>
      <w:r>
        <w:rPr>
          <w:rFonts w:hint="eastAsia" w:ascii="仿宋_GB2312" w:eastAsia="仿宋_GB2312"/>
          <w:sz w:val="32"/>
          <w:szCs w:val="32"/>
          <w:lang w:val="en-US" w:eastAsia="zh-CN"/>
        </w:rPr>
        <w:t>18.98</w:t>
      </w:r>
      <w:r>
        <w:rPr>
          <w:rFonts w:hint="eastAsia" w:ascii="仿宋_GB2312" w:eastAsia="仿宋_GB2312"/>
          <w:sz w:val="32"/>
          <w:szCs w:val="32"/>
        </w:rPr>
        <w:t>万元，主要原因是人员增加、工资增长。</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2、支出按功能科目分类的明细情况。</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本部门</w:t>
      </w:r>
      <w:r>
        <w:rPr>
          <w:rFonts w:hint="eastAsia" w:ascii="仿宋_GB2312" w:eastAsia="仿宋_GB2312"/>
          <w:sz w:val="32"/>
          <w:szCs w:val="32"/>
          <w:lang w:val="en-US" w:eastAsia="zh-CN"/>
        </w:rPr>
        <w:t>2020</w:t>
      </w:r>
      <w:r>
        <w:rPr>
          <w:rFonts w:hint="eastAsia" w:ascii="仿宋_GB2312" w:eastAsia="仿宋_GB2312"/>
          <w:sz w:val="32"/>
          <w:szCs w:val="32"/>
        </w:rPr>
        <w:t>年一般公共预算支出</w:t>
      </w:r>
      <w:r>
        <w:rPr>
          <w:rFonts w:hint="eastAsia" w:ascii="仿宋_GB2312" w:eastAsia="仿宋_GB2312"/>
          <w:sz w:val="32"/>
          <w:szCs w:val="32"/>
          <w:lang w:val="en-US" w:eastAsia="zh-CN"/>
        </w:rPr>
        <w:t>759.35</w:t>
      </w:r>
      <w:r>
        <w:rPr>
          <w:rFonts w:hint="eastAsia" w:ascii="仿宋_GB2312" w:eastAsia="仿宋_GB2312"/>
          <w:sz w:val="32"/>
          <w:szCs w:val="32"/>
        </w:rPr>
        <w:t>万元，其中：</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（1）行政运行（2010301）</w:t>
      </w:r>
      <w:r>
        <w:rPr>
          <w:rFonts w:hint="eastAsia" w:ascii="仿宋_GB2312" w:eastAsia="仿宋_GB2312"/>
          <w:sz w:val="32"/>
          <w:szCs w:val="32"/>
          <w:lang w:val="en-US" w:eastAsia="zh-CN"/>
        </w:rPr>
        <w:t>664.8</w:t>
      </w:r>
      <w:r>
        <w:rPr>
          <w:rFonts w:hint="eastAsia" w:ascii="仿宋_GB2312" w:eastAsia="仿宋_GB2312"/>
          <w:sz w:val="32"/>
          <w:szCs w:val="32"/>
        </w:rPr>
        <w:t>万元，较上年增加</w:t>
      </w:r>
      <w:r>
        <w:rPr>
          <w:rFonts w:hint="eastAsia" w:ascii="仿宋_GB2312" w:eastAsia="仿宋_GB2312"/>
          <w:sz w:val="32"/>
          <w:szCs w:val="32"/>
          <w:lang w:val="en-US" w:eastAsia="zh-CN"/>
        </w:rPr>
        <w:t>47.38</w:t>
      </w:r>
      <w:r>
        <w:rPr>
          <w:rFonts w:hint="eastAsia" w:ascii="仿宋_GB2312" w:eastAsia="仿宋_GB2312"/>
          <w:sz w:val="32"/>
          <w:szCs w:val="32"/>
        </w:rPr>
        <w:t>万元，原因是人员增加、工资增长；</w:t>
      </w:r>
    </w:p>
    <w:p>
      <w:pPr>
        <w:adjustRightInd w:val="0"/>
        <w:snapToGrid w:val="0"/>
        <w:spacing w:line="360" w:lineRule="auto"/>
        <w:ind w:firstLine="640" w:firstLineChars="200"/>
        <w:rPr>
          <w:rFonts w:hint="eastAsia" w:ascii="仿宋_GB2312" w:eastAsia="仿宋_GB2312"/>
          <w:color w:val="000000" w:themeColor="text1"/>
          <w:sz w:val="32"/>
          <w:szCs w:val="32"/>
        </w:rPr>
      </w:pPr>
      <w:r>
        <w:rPr>
          <w:rFonts w:hint="eastAsia" w:ascii="仿宋_GB2312" w:eastAsia="仿宋_GB2312"/>
          <w:color w:val="000000" w:themeColor="text1"/>
          <w:sz w:val="32"/>
          <w:szCs w:val="32"/>
        </w:rPr>
        <w:t>（2）</w:t>
      </w:r>
      <w:r>
        <w:rPr>
          <w:rFonts w:hint="eastAsia" w:ascii="仿宋_GB2312" w:eastAsia="仿宋_GB2312"/>
          <w:color w:val="000000" w:themeColor="text1"/>
          <w:sz w:val="32"/>
          <w:szCs w:val="32"/>
          <w:lang w:eastAsia="zh-CN"/>
        </w:rPr>
        <w:t>行政单位医疗</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2101101</w:t>
      </w:r>
      <w:r>
        <w:rPr>
          <w:rFonts w:hint="eastAsia" w:ascii="仿宋_GB2312" w:eastAsia="仿宋_GB2312"/>
          <w:color w:val="000000" w:themeColor="text1"/>
          <w:sz w:val="32"/>
          <w:szCs w:val="32"/>
        </w:rPr>
        <w:t>）</w:t>
      </w:r>
      <w:r>
        <w:rPr>
          <w:rFonts w:hint="eastAsia" w:ascii="仿宋_GB2312" w:eastAsia="仿宋_GB2312"/>
          <w:color w:val="000000" w:themeColor="text1"/>
          <w:sz w:val="32"/>
          <w:szCs w:val="32"/>
          <w:lang w:val="en-US" w:eastAsia="zh-CN"/>
        </w:rPr>
        <w:t>15.95</w:t>
      </w:r>
      <w:r>
        <w:rPr>
          <w:rFonts w:hint="eastAsia" w:ascii="仿宋_GB2312" w:eastAsia="仿宋_GB2312"/>
          <w:color w:val="000000" w:themeColor="text1"/>
          <w:sz w:val="32"/>
          <w:szCs w:val="32"/>
        </w:rPr>
        <w:t>万元，较上年增加</w:t>
      </w:r>
      <w:r>
        <w:rPr>
          <w:rFonts w:hint="eastAsia" w:ascii="仿宋_GB2312" w:eastAsia="仿宋_GB2312"/>
          <w:color w:val="000000" w:themeColor="text1"/>
          <w:sz w:val="32"/>
          <w:szCs w:val="32"/>
          <w:lang w:val="en-US" w:eastAsia="zh-CN"/>
        </w:rPr>
        <w:t>15.95</w:t>
      </w:r>
      <w:r>
        <w:rPr>
          <w:rFonts w:hint="eastAsia" w:ascii="仿宋_GB2312" w:eastAsia="仿宋_GB2312"/>
          <w:color w:val="000000" w:themeColor="text1"/>
          <w:sz w:val="32"/>
          <w:szCs w:val="32"/>
        </w:rPr>
        <w:t>万元，原因是</w:t>
      </w:r>
      <w:r>
        <w:rPr>
          <w:rFonts w:hint="eastAsia" w:ascii="仿宋_GB2312" w:eastAsia="仿宋_GB2312"/>
          <w:color w:val="000000" w:themeColor="text1"/>
          <w:sz w:val="32"/>
          <w:szCs w:val="32"/>
          <w:lang w:eastAsia="zh-CN"/>
        </w:rPr>
        <w:t>今年新增加项目</w:t>
      </w:r>
      <w:r>
        <w:rPr>
          <w:rFonts w:hint="eastAsia" w:ascii="仿宋_GB2312" w:eastAsia="仿宋_GB2312"/>
          <w:color w:val="000000" w:themeColor="text1"/>
          <w:sz w:val="32"/>
          <w:szCs w:val="32"/>
        </w:rPr>
        <w:t>；</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（3）机关事业单位基本养老保险缴费支出（2080505）</w:t>
      </w:r>
      <w:r>
        <w:rPr>
          <w:rFonts w:hint="eastAsia" w:ascii="仿宋_GB2312" w:eastAsia="仿宋_GB2312"/>
          <w:sz w:val="32"/>
          <w:szCs w:val="32"/>
          <w:lang w:val="en-US" w:eastAsia="zh-CN"/>
        </w:rPr>
        <w:t>72.51</w:t>
      </w:r>
      <w:r>
        <w:rPr>
          <w:rFonts w:hint="eastAsia" w:ascii="仿宋_GB2312" w:eastAsia="仿宋_GB2312"/>
          <w:sz w:val="32"/>
          <w:szCs w:val="32"/>
        </w:rPr>
        <w:t>万元，较上年</w:t>
      </w:r>
      <w:r>
        <w:rPr>
          <w:rFonts w:hint="eastAsia" w:ascii="仿宋_GB2312" w:eastAsia="仿宋_GB2312"/>
          <w:sz w:val="32"/>
          <w:szCs w:val="32"/>
          <w:lang w:eastAsia="zh-CN"/>
        </w:rPr>
        <w:t>减少</w:t>
      </w:r>
      <w:r>
        <w:rPr>
          <w:rFonts w:hint="eastAsia" w:ascii="仿宋_GB2312" w:eastAsia="仿宋_GB2312"/>
          <w:sz w:val="32"/>
          <w:szCs w:val="32"/>
          <w:lang w:val="en-US" w:eastAsia="zh-CN"/>
        </w:rPr>
        <w:t>13.27</w:t>
      </w:r>
      <w:r>
        <w:rPr>
          <w:rFonts w:hint="eastAsia" w:ascii="仿宋_GB2312" w:eastAsia="仿宋_GB2312"/>
          <w:sz w:val="32"/>
          <w:szCs w:val="32"/>
        </w:rPr>
        <w:t>万元，原因是</w:t>
      </w:r>
      <w:r>
        <w:rPr>
          <w:rFonts w:hint="eastAsia" w:ascii="仿宋_GB2312" w:hAnsi="仿宋" w:eastAsia="仿宋_GB2312"/>
          <w:sz w:val="32"/>
          <w:szCs w:val="32"/>
          <w:lang w:eastAsia="zh-CN"/>
        </w:rPr>
        <w:t>调整了征缴比例</w:t>
      </w:r>
      <w:r>
        <w:rPr>
          <w:rFonts w:hint="eastAsia" w:ascii="仿宋_GB2312" w:eastAsia="仿宋_GB2312"/>
          <w:sz w:val="32"/>
          <w:szCs w:val="32"/>
        </w:rPr>
        <w:t>；</w:t>
      </w:r>
    </w:p>
    <w:p>
      <w:pPr>
        <w:adjustRightInd w:val="0"/>
        <w:snapToGrid w:val="0"/>
        <w:spacing w:line="360" w:lineRule="auto"/>
        <w:ind w:firstLine="640" w:firstLineChars="200"/>
        <w:rPr>
          <w:rFonts w:hint="eastAsia" w:ascii="仿宋_GB2312" w:hAnsi="仿宋" w:eastAsia="仿宋_GB2312"/>
          <w:sz w:val="32"/>
          <w:szCs w:val="32"/>
        </w:rPr>
      </w:pPr>
      <w:r>
        <w:rPr>
          <w:rFonts w:hint="eastAsia" w:ascii="仿宋_GB2312" w:eastAsia="仿宋_GB2312"/>
          <w:sz w:val="32"/>
          <w:szCs w:val="32"/>
        </w:rPr>
        <w:t>（4）机关事业单位职业年金缴费支出（2080506）</w:t>
      </w:r>
      <w:r>
        <w:rPr>
          <w:rFonts w:hint="eastAsia" w:ascii="仿宋_GB2312" w:eastAsia="仿宋_GB2312"/>
          <w:sz w:val="32"/>
          <w:szCs w:val="32"/>
          <w:lang w:val="en-US" w:eastAsia="zh-CN"/>
        </w:rPr>
        <w:t>0.56</w:t>
      </w:r>
      <w:r>
        <w:rPr>
          <w:rFonts w:hint="eastAsia" w:ascii="仿宋_GB2312" w:eastAsia="仿宋_GB2312"/>
          <w:sz w:val="32"/>
          <w:szCs w:val="32"/>
        </w:rPr>
        <w:t>万元，较上年</w:t>
      </w:r>
      <w:r>
        <w:rPr>
          <w:rFonts w:hint="eastAsia" w:ascii="仿宋_GB2312" w:eastAsia="仿宋_GB2312"/>
          <w:sz w:val="32"/>
          <w:szCs w:val="32"/>
          <w:lang w:eastAsia="zh-CN"/>
        </w:rPr>
        <w:t>减少了</w:t>
      </w:r>
      <w:r>
        <w:rPr>
          <w:rFonts w:hint="eastAsia" w:ascii="仿宋_GB2312" w:eastAsia="仿宋_GB2312"/>
          <w:sz w:val="32"/>
          <w:szCs w:val="32"/>
          <w:lang w:val="en-US" w:eastAsia="zh-CN"/>
        </w:rPr>
        <w:t>0.05</w:t>
      </w:r>
      <w:r>
        <w:rPr>
          <w:rFonts w:hint="eastAsia" w:ascii="仿宋_GB2312" w:eastAsia="仿宋_GB2312"/>
          <w:sz w:val="32"/>
          <w:szCs w:val="32"/>
        </w:rPr>
        <w:t>万元，原因是</w:t>
      </w:r>
      <w:r>
        <w:rPr>
          <w:rFonts w:hint="eastAsia" w:ascii="仿宋_GB2312" w:hAnsi="仿宋" w:eastAsia="仿宋_GB2312"/>
          <w:sz w:val="32"/>
          <w:szCs w:val="32"/>
          <w:lang w:eastAsia="zh-CN"/>
        </w:rPr>
        <w:t>调整了征缴比例</w:t>
      </w:r>
      <w:r>
        <w:rPr>
          <w:rFonts w:hint="eastAsia" w:ascii="仿宋_GB2312" w:hAnsi="仿宋" w:eastAsia="仿宋_GB2312"/>
          <w:sz w:val="32"/>
          <w:szCs w:val="32"/>
        </w:rPr>
        <w:t>。</w:t>
      </w:r>
    </w:p>
    <w:p>
      <w:pPr>
        <w:adjustRightInd w:val="0"/>
        <w:snapToGrid w:val="0"/>
        <w:spacing w:line="360" w:lineRule="auto"/>
        <w:ind w:firstLine="640" w:firstLineChars="200"/>
        <w:rPr>
          <w:rFonts w:hint="eastAsia" w:ascii="仿宋_GB2312" w:eastAsia="仿宋_GB2312"/>
          <w:color w:val="000000" w:themeColor="text1"/>
          <w:sz w:val="32"/>
          <w:szCs w:val="32"/>
        </w:rPr>
      </w:pP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5</w:t>
      </w:r>
      <w:r>
        <w:rPr>
          <w:rFonts w:hint="eastAsia" w:ascii="仿宋_GB2312" w:hAnsi="仿宋" w:eastAsia="仿宋_GB2312"/>
          <w:sz w:val="32"/>
          <w:szCs w:val="32"/>
          <w:lang w:eastAsia="zh-CN"/>
        </w:rPr>
        <w:t>）公务员医疗补助（</w:t>
      </w:r>
      <w:r>
        <w:rPr>
          <w:rFonts w:hint="eastAsia" w:ascii="仿宋_GB2312" w:hAnsi="仿宋" w:eastAsia="仿宋_GB2312"/>
          <w:sz w:val="32"/>
          <w:szCs w:val="32"/>
          <w:lang w:val="en-US" w:eastAsia="zh-CN"/>
        </w:rPr>
        <w:t>2101103</w:t>
      </w:r>
      <w:r>
        <w:rPr>
          <w:rFonts w:hint="eastAsia" w:ascii="仿宋_GB2312" w:hAnsi="仿宋" w:eastAsia="仿宋_GB2312"/>
          <w:sz w:val="32"/>
          <w:szCs w:val="32"/>
          <w:lang w:eastAsia="zh-CN"/>
        </w:rPr>
        <w:t>）</w:t>
      </w:r>
      <w:r>
        <w:rPr>
          <w:rFonts w:hint="eastAsia" w:ascii="仿宋_GB2312" w:hAnsi="仿宋" w:eastAsia="仿宋_GB2312"/>
          <w:sz w:val="32"/>
          <w:szCs w:val="32"/>
          <w:lang w:val="en-US" w:eastAsia="zh-CN"/>
        </w:rPr>
        <w:t>0.91万元，</w:t>
      </w:r>
      <w:r>
        <w:rPr>
          <w:rFonts w:hint="eastAsia" w:ascii="仿宋_GB2312" w:eastAsia="仿宋_GB2312"/>
          <w:color w:val="000000" w:themeColor="text1"/>
          <w:sz w:val="32"/>
          <w:szCs w:val="32"/>
        </w:rPr>
        <w:t>较上年增加</w:t>
      </w:r>
      <w:r>
        <w:rPr>
          <w:rFonts w:hint="eastAsia" w:ascii="仿宋_GB2312" w:eastAsia="仿宋_GB2312"/>
          <w:color w:val="000000" w:themeColor="text1"/>
          <w:sz w:val="32"/>
          <w:szCs w:val="32"/>
          <w:lang w:val="en-US" w:eastAsia="zh-CN"/>
        </w:rPr>
        <w:t>0.91</w:t>
      </w:r>
      <w:r>
        <w:rPr>
          <w:rFonts w:hint="eastAsia" w:ascii="仿宋_GB2312" w:eastAsia="仿宋_GB2312"/>
          <w:color w:val="000000" w:themeColor="text1"/>
          <w:sz w:val="32"/>
          <w:szCs w:val="32"/>
        </w:rPr>
        <w:t>万元，原因是</w:t>
      </w:r>
      <w:r>
        <w:rPr>
          <w:rFonts w:hint="eastAsia" w:ascii="仿宋_GB2312" w:eastAsia="仿宋_GB2312"/>
          <w:color w:val="000000" w:themeColor="text1"/>
          <w:sz w:val="32"/>
          <w:szCs w:val="32"/>
          <w:lang w:eastAsia="zh-CN"/>
        </w:rPr>
        <w:t>今年新增加项目</w:t>
      </w:r>
      <w:r>
        <w:rPr>
          <w:rFonts w:hint="eastAsia" w:ascii="仿宋_GB2312" w:eastAsia="仿宋_GB2312"/>
          <w:color w:val="000000" w:themeColor="text1"/>
          <w:sz w:val="32"/>
          <w:szCs w:val="32"/>
        </w:rPr>
        <w:t>；</w:t>
      </w:r>
    </w:p>
    <w:p>
      <w:pPr>
        <w:adjustRightInd w:val="0"/>
        <w:snapToGrid w:val="0"/>
        <w:spacing w:line="360" w:lineRule="auto"/>
        <w:ind w:firstLine="640" w:firstLineChars="200"/>
        <w:rPr>
          <w:rFonts w:hint="eastAsia" w:ascii="仿宋_GB2312" w:eastAsia="仿宋_GB2312"/>
          <w:color w:val="000000" w:themeColor="text1"/>
          <w:sz w:val="32"/>
          <w:szCs w:val="32"/>
          <w:lang w:eastAsia="zh-CN"/>
        </w:rPr>
      </w:pPr>
      <w:r>
        <w:rPr>
          <w:rFonts w:hint="eastAsia" w:ascii="仿宋_GB2312" w:eastAsia="仿宋_GB2312"/>
          <w:color w:val="000000" w:themeColor="text1"/>
          <w:sz w:val="32"/>
          <w:szCs w:val="32"/>
          <w:lang w:eastAsia="zh-CN"/>
        </w:rPr>
        <w:t>（</w:t>
      </w:r>
      <w:r>
        <w:rPr>
          <w:rFonts w:hint="eastAsia" w:ascii="仿宋_GB2312" w:eastAsia="仿宋_GB2312"/>
          <w:color w:val="000000" w:themeColor="text1"/>
          <w:sz w:val="32"/>
          <w:szCs w:val="32"/>
          <w:lang w:val="en-US" w:eastAsia="zh-CN"/>
        </w:rPr>
        <w:t>6</w:t>
      </w:r>
      <w:r>
        <w:rPr>
          <w:rFonts w:hint="eastAsia" w:ascii="仿宋_GB2312" w:eastAsia="仿宋_GB2312"/>
          <w:color w:val="000000" w:themeColor="text1"/>
          <w:sz w:val="32"/>
          <w:szCs w:val="32"/>
          <w:lang w:eastAsia="zh-CN"/>
        </w:rPr>
        <w:t>）其他卫生健康支出</w:t>
      </w:r>
      <w:r>
        <w:rPr>
          <w:rFonts w:hint="eastAsia" w:ascii="仿宋_GB2312" w:eastAsia="仿宋_GB2312"/>
          <w:color w:val="000000" w:themeColor="text1"/>
          <w:sz w:val="32"/>
          <w:szCs w:val="32"/>
          <w:lang w:val="en-US" w:eastAsia="zh-CN"/>
        </w:rPr>
        <w:t>(2109901)1.63</w:t>
      </w:r>
      <w:r>
        <w:rPr>
          <w:rFonts w:hint="eastAsia" w:ascii="仿宋_GB2312" w:hAnsi="仿宋" w:eastAsia="仿宋_GB2312"/>
          <w:sz w:val="32"/>
          <w:szCs w:val="32"/>
          <w:lang w:val="en-US" w:eastAsia="zh-CN"/>
        </w:rPr>
        <w:t>万元，</w:t>
      </w:r>
      <w:r>
        <w:rPr>
          <w:rFonts w:hint="eastAsia" w:ascii="仿宋_GB2312" w:eastAsia="仿宋_GB2312"/>
          <w:color w:val="000000" w:themeColor="text1"/>
          <w:sz w:val="32"/>
          <w:szCs w:val="32"/>
        </w:rPr>
        <w:t>较上年增加</w:t>
      </w:r>
      <w:r>
        <w:rPr>
          <w:rFonts w:hint="eastAsia" w:ascii="仿宋_GB2312" w:eastAsia="仿宋_GB2312"/>
          <w:color w:val="000000" w:themeColor="text1"/>
          <w:sz w:val="32"/>
          <w:szCs w:val="32"/>
          <w:lang w:val="en-US" w:eastAsia="zh-CN"/>
        </w:rPr>
        <w:t>1.63</w:t>
      </w:r>
      <w:r>
        <w:rPr>
          <w:rFonts w:hint="eastAsia" w:ascii="仿宋_GB2312" w:eastAsia="仿宋_GB2312"/>
          <w:color w:val="000000" w:themeColor="text1"/>
          <w:sz w:val="32"/>
          <w:szCs w:val="32"/>
        </w:rPr>
        <w:t>万元，原因是</w:t>
      </w:r>
      <w:r>
        <w:rPr>
          <w:rFonts w:hint="eastAsia" w:ascii="仿宋_GB2312" w:eastAsia="仿宋_GB2312"/>
          <w:color w:val="000000" w:themeColor="text1"/>
          <w:sz w:val="32"/>
          <w:szCs w:val="32"/>
          <w:lang w:eastAsia="zh-CN"/>
        </w:rPr>
        <w:t>今年新增加项目</w:t>
      </w:r>
      <w:r>
        <w:rPr>
          <w:rFonts w:hint="eastAsia" w:ascii="仿宋_GB2312" w:eastAsia="仿宋_GB2312"/>
          <w:color w:val="000000" w:themeColor="text1"/>
          <w:sz w:val="32"/>
          <w:szCs w:val="32"/>
          <w:lang w:val="en-US" w:eastAsia="zh-CN"/>
        </w:rPr>
        <w:t>.</w:t>
      </w:r>
    </w:p>
    <w:p>
      <w:pPr>
        <w:adjustRightInd w:val="0"/>
        <w:snapToGrid w:val="0"/>
        <w:spacing w:line="360" w:lineRule="auto"/>
        <w:ind w:firstLine="640" w:firstLineChars="200"/>
        <w:rPr>
          <w:rFonts w:hint="default" w:ascii="仿宋_GB2312" w:eastAsia="仿宋_GB2312"/>
          <w:color w:val="000000" w:themeColor="text1"/>
          <w:sz w:val="32"/>
          <w:szCs w:val="32"/>
          <w:lang w:val="en-US" w:eastAsia="zh-CN"/>
        </w:rPr>
      </w:pPr>
    </w:p>
    <w:p>
      <w:pPr>
        <w:adjustRightInd w:val="0"/>
        <w:snapToGrid w:val="0"/>
        <w:spacing w:line="360" w:lineRule="auto"/>
        <w:ind w:firstLine="640" w:firstLineChars="200"/>
        <w:rPr>
          <w:rFonts w:hint="default" w:ascii="仿宋_GB2312" w:hAnsi="仿宋" w:eastAsia="仿宋_GB2312"/>
          <w:sz w:val="32"/>
          <w:szCs w:val="32"/>
          <w:lang w:val="en-US" w:eastAsia="zh-CN"/>
        </w:rPr>
      </w:pP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3、支出按经济科目分类的明细情况</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（1）按照部门预算支出经济分类的类级科目说明。</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年本部门一般公共预算支出</w:t>
      </w:r>
      <w:r>
        <w:rPr>
          <w:rFonts w:hint="eastAsia" w:ascii="仿宋_GB2312" w:eastAsia="仿宋_GB2312"/>
          <w:sz w:val="32"/>
          <w:szCs w:val="32"/>
          <w:lang w:val="en-US" w:eastAsia="zh-CN"/>
        </w:rPr>
        <w:t>759.35</w:t>
      </w:r>
      <w:r>
        <w:rPr>
          <w:rFonts w:hint="eastAsia" w:ascii="仿宋_GB2312" w:eastAsia="仿宋_GB2312"/>
          <w:sz w:val="32"/>
          <w:szCs w:val="32"/>
        </w:rPr>
        <w:t>万元，其中：</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工资福利支出（301）</w:t>
      </w:r>
      <w:r>
        <w:rPr>
          <w:rFonts w:hint="eastAsia" w:ascii="仿宋_GB2312" w:eastAsia="仿宋_GB2312"/>
          <w:sz w:val="32"/>
          <w:szCs w:val="32"/>
          <w:lang w:val="en-US" w:eastAsia="zh-CN"/>
        </w:rPr>
        <w:t>677.76</w:t>
      </w:r>
      <w:r>
        <w:rPr>
          <w:rFonts w:hint="eastAsia" w:ascii="仿宋_GB2312" w:eastAsia="仿宋_GB2312"/>
          <w:sz w:val="32"/>
          <w:szCs w:val="32"/>
        </w:rPr>
        <w:t>万元，较上年增加</w:t>
      </w:r>
      <w:r>
        <w:rPr>
          <w:rFonts w:hint="eastAsia" w:ascii="仿宋_GB2312" w:eastAsia="仿宋_GB2312"/>
          <w:sz w:val="32"/>
          <w:szCs w:val="32"/>
          <w:lang w:val="en-US" w:eastAsia="zh-CN"/>
        </w:rPr>
        <w:t>15.45</w:t>
      </w:r>
      <w:r>
        <w:rPr>
          <w:rFonts w:hint="eastAsia" w:ascii="仿宋_GB2312" w:eastAsia="仿宋_GB2312"/>
          <w:sz w:val="32"/>
          <w:szCs w:val="32"/>
        </w:rPr>
        <w:t>万元，原因是人员增加、工资增长；</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商品和服务支出（302）</w:t>
      </w:r>
      <w:r>
        <w:rPr>
          <w:rFonts w:hint="eastAsia" w:ascii="仿宋_GB2312" w:eastAsia="仿宋_GB2312"/>
          <w:sz w:val="32"/>
          <w:szCs w:val="32"/>
          <w:lang w:val="en-US" w:eastAsia="zh-CN"/>
        </w:rPr>
        <w:t>73.35</w:t>
      </w:r>
      <w:r>
        <w:rPr>
          <w:rFonts w:hint="eastAsia" w:ascii="仿宋_GB2312" w:eastAsia="仿宋_GB2312"/>
          <w:sz w:val="32"/>
          <w:szCs w:val="32"/>
        </w:rPr>
        <w:t>万元，较上年增加</w:t>
      </w:r>
      <w:r>
        <w:rPr>
          <w:rFonts w:hint="eastAsia" w:ascii="仿宋_GB2312" w:eastAsia="仿宋_GB2312"/>
          <w:sz w:val="32"/>
          <w:szCs w:val="32"/>
          <w:lang w:val="en-US" w:eastAsia="zh-CN"/>
        </w:rPr>
        <w:t>0.54</w:t>
      </w:r>
      <w:r>
        <w:rPr>
          <w:rFonts w:hint="eastAsia" w:ascii="仿宋_GB2312" w:eastAsia="仿宋_GB2312"/>
          <w:sz w:val="32"/>
          <w:szCs w:val="32"/>
        </w:rPr>
        <w:t>万元，原因是人员增加，公车补贴、公用经费增加；</w:t>
      </w: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shd w:val="clear" w:color="auto" w:fill="FFFFFF"/>
        </w:rPr>
      </w:pPr>
      <w:r>
        <w:rPr>
          <w:rFonts w:hint="eastAsia" w:ascii="仿宋_GB2312" w:eastAsia="仿宋_GB2312"/>
          <w:sz w:val="32"/>
          <w:szCs w:val="32"/>
        </w:rPr>
        <w:t>对个人和家庭的补助支出（303）5.2</w:t>
      </w:r>
      <w:r>
        <w:rPr>
          <w:rFonts w:hint="eastAsia" w:ascii="仿宋_GB2312" w:eastAsia="仿宋_GB2312"/>
          <w:sz w:val="32"/>
          <w:szCs w:val="32"/>
          <w:lang w:val="en-US" w:eastAsia="zh-CN"/>
        </w:rPr>
        <w:t>9</w:t>
      </w:r>
      <w:r>
        <w:rPr>
          <w:rFonts w:hint="eastAsia" w:ascii="仿宋_GB2312" w:eastAsia="仿宋_GB2312"/>
          <w:sz w:val="32"/>
          <w:szCs w:val="32"/>
        </w:rPr>
        <w:t>万元，较上年</w:t>
      </w:r>
      <w:r>
        <w:rPr>
          <w:rFonts w:hint="eastAsia" w:ascii="仿宋_GB2312" w:eastAsia="仿宋_GB2312"/>
          <w:sz w:val="32"/>
          <w:szCs w:val="32"/>
          <w:lang w:eastAsia="zh-CN"/>
        </w:rPr>
        <w:t>增加</w:t>
      </w:r>
      <w:r>
        <w:rPr>
          <w:rFonts w:hint="eastAsia" w:ascii="仿宋_GB2312" w:eastAsia="仿宋_GB2312"/>
          <w:sz w:val="32"/>
          <w:szCs w:val="32"/>
          <w:lang w:val="en-US" w:eastAsia="zh-CN"/>
        </w:rPr>
        <w:t>0.04</w:t>
      </w:r>
      <w:r>
        <w:rPr>
          <w:rFonts w:hint="eastAsia" w:ascii="仿宋_GB2312" w:eastAsia="仿宋_GB2312"/>
          <w:sz w:val="32"/>
          <w:szCs w:val="32"/>
        </w:rPr>
        <w:t>万元，原因是</w:t>
      </w:r>
      <w:r>
        <w:rPr>
          <w:rFonts w:hint="eastAsia" w:ascii="仿宋_GB2312" w:hAnsi="宋体" w:eastAsia="仿宋_GB2312" w:cs="宋体"/>
          <w:color w:val="3D3D3C"/>
          <w:kern w:val="0"/>
          <w:sz w:val="32"/>
          <w:szCs w:val="32"/>
          <w:shd w:val="clear" w:color="auto" w:fill="FFFFFF"/>
          <w:lang w:bidi="ar"/>
        </w:rPr>
        <w:t>遗属人员</w:t>
      </w:r>
      <w:r>
        <w:rPr>
          <w:rFonts w:hint="eastAsia" w:ascii="仿宋_GB2312" w:hAnsi="宋体" w:eastAsia="仿宋_GB2312" w:cs="宋体"/>
          <w:color w:val="3D3D3C"/>
          <w:kern w:val="0"/>
          <w:sz w:val="32"/>
          <w:szCs w:val="32"/>
          <w:shd w:val="clear" w:color="auto" w:fill="FFFFFF"/>
          <w:lang w:eastAsia="zh-CN" w:bidi="ar"/>
        </w:rPr>
        <w:t>正常调资</w:t>
      </w:r>
      <w:r>
        <w:rPr>
          <w:rFonts w:hint="eastAsia" w:ascii="仿宋_GB2312" w:hAnsi="宋体" w:eastAsia="仿宋_GB2312" w:cs="宋体"/>
          <w:color w:val="3D3D3C"/>
          <w:kern w:val="0"/>
          <w:sz w:val="32"/>
          <w:szCs w:val="32"/>
          <w:shd w:val="clear" w:color="auto" w:fill="FFFFFF"/>
          <w:lang w:bidi="ar"/>
        </w:rPr>
        <w:t xml:space="preserve">。 </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（2）按照政府预算支出经济分类的类级科目说明。</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 xml:space="preserve">    20</w:t>
      </w:r>
      <w:r>
        <w:rPr>
          <w:rFonts w:hint="eastAsia" w:ascii="仿宋_GB2312" w:eastAsia="仿宋_GB2312"/>
          <w:sz w:val="32"/>
          <w:szCs w:val="32"/>
          <w:lang w:val="en-US" w:eastAsia="zh-CN"/>
        </w:rPr>
        <w:t>20</w:t>
      </w:r>
      <w:r>
        <w:rPr>
          <w:rFonts w:hint="eastAsia" w:ascii="仿宋_GB2312" w:eastAsia="仿宋_GB2312"/>
          <w:sz w:val="32"/>
          <w:szCs w:val="32"/>
        </w:rPr>
        <w:t>年本部门一般公共预算支出</w:t>
      </w:r>
      <w:r>
        <w:rPr>
          <w:rFonts w:hint="eastAsia" w:ascii="仿宋_GB2312" w:eastAsia="仿宋_GB2312"/>
          <w:sz w:val="32"/>
          <w:szCs w:val="32"/>
          <w:lang w:val="en-US" w:eastAsia="zh-CN"/>
        </w:rPr>
        <w:t>759.35</w:t>
      </w:r>
      <w:r>
        <w:rPr>
          <w:rFonts w:hint="eastAsia" w:ascii="仿宋_GB2312" w:eastAsia="仿宋_GB2312"/>
          <w:sz w:val="32"/>
          <w:szCs w:val="32"/>
        </w:rPr>
        <w:t>万元，其中：</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工资福利支出（</w:t>
      </w:r>
      <w:r>
        <w:rPr>
          <w:rFonts w:hint="eastAsia" w:ascii="仿宋_GB2312" w:eastAsia="仿宋_GB2312"/>
          <w:sz w:val="32"/>
          <w:szCs w:val="32"/>
          <w:lang w:val="en-US" w:eastAsia="zh-CN"/>
        </w:rPr>
        <w:t>501</w:t>
      </w:r>
      <w:r>
        <w:rPr>
          <w:rFonts w:hint="eastAsia" w:ascii="仿宋_GB2312" w:eastAsia="仿宋_GB2312"/>
          <w:sz w:val="32"/>
          <w:szCs w:val="32"/>
        </w:rPr>
        <w:t>）</w:t>
      </w:r>
      <w:r>
        <w:rPr>
          <w:rFonts w:hint="eastAsia" w:ascii="仿宋_GB2312" w:eastAsia="仿宋_GB2312"/>
          <w:sz w:val="32"/>
          <w:szCs w:val="32"/>
          <w:lang w:val="en-US" w:eastAsia="zh-CN"/>
        </w:rPr>
        <w:t>677.76</w:t>
      </w:r>
      <w:r>
        <w:rPr>
          <w:rFonts w:hint="eastAsia" w:ascii="仿宋_GB2312" w:eastAsia="仿宋_GB2312"/>
          <w:sz w:val="32"/>
          <w:szCs w:val="32"/>
        </w:rPr>
        <w:t>万元，较上年增加</w:t>
      </w:r>
      <w:r>
        <w:rPr>
          <w:rFonts w:hint="eastAsia" w:ascii="仿宋_GB2312" w:eastAsia="仿宋_GB2312"/>
          <w:sz w:val="32"/>
          <w:szCs w:val="32"/>
          <w:lang w:val="en-US" w:eastAsia="zh-CN"/>
        </w:rPr>
        <w:t>15.45</w:t>
      </w:r>
      <w:r>
        <w:rPr>
          <w:rFonts w:hint="eastAsia" w:ascii="仿宋_GB2312" w:eastAsia="仿宋_GB2312"/>
          <w:sz w:val="32"/>
          <w:szCs w:val="32"/>
        </w:rPr>
        <w:t>万元，原因是人员增加、工资增长；</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商品和服务支出（</w:t>
      </w:r>
      <w:r>
        <w:rPr>
          <w:rFonts w:hint="eastAsia" w:ascii="仿宋_GB2312" w:eastAsia="仿宋_GB2312"/>
          <w:sz w:val="32"/>
          <w:szCs w:val="32"/>
          <w:lang w:val="en-US" w:eastAsia="zh-CN"/>
        </w:rPr>
        <w:t>502</w:t>
      </w:r>
      <w:r>
        <w:rPr>
          <w:rFonts w:hint="eastAsia" w:ascii="仿宋_GB2312" w:eastAsia="仿宋_GB2312"/>
          <w:sz w:val="32"/>
          <w:szCs w:val="32"/>
        </w:rPr>
        <w:t>）</w:t>
      </w:r>
      <w:r>
        <w:rPr>
          <w:rFonts w:hint="eastAsia" w:ascii="仿宋_GB2312" w:eastAsia="仿宋_GB2312"/>
          <w:sz w:val="32"/>
          <w:szCs w:val="32"/>
          <w:lang w:val="en-US" w:eastAsia="zh-CN"/>
        </w:rPr>
        <w:t>73.35</w:t>
      </w:r>
      <w:r>
        <w:rPr>
          <w:rFonts w:hint="eastAsia" w:ascii="仿宋_GB2312" w:eastAsia="仿宋_GB2312"/>
          <w:sz w:val="32"/>
          <w:szCs w:val="32"/>
        </w:rPr>
        <w:t>万元，较上年增加</w:t>
      </w:r>
      <w:r>
        <w:rPr>
          <w:rFonts w:hint="eastAsia" w:ascii="仿宋_GB2312" w:eastAsia="仿宋_GB2312"/>
          <w:sz w:val="32"/>
          <w:szCs w:val="32"/>
          <w:lang w:val="en-US" w:eastAsia="zh-CN"/>
        </w:rPr>
        <w:t>0.54</w:t>
      </w:r>
      <w:r>
        <w:rPr>
          <w:rFonts w:hint="eastAsia" w:ascii="仿宋_GB2312" w:eastAsia="仿宋_GB2312"/>
          <w:sz w:val="32"/>
          <w:szCs w:val="32"/>
        </w:rPr>
        <w:t>万元，原因是人员增加，公车补贴、公用经费增加；</w:t>
      </w:r>
    </w:p>
    <w:p>
      <w:pPr>
        <w:adjustRightInd w:val="0"/>
        <w:snapToGrid w:val="0"/>
        <w:spacing w:line="360" w:lineRule="auto"/>
        <w:ind w:firstLine="640" w:firstLineChars="200"/>
        <w:rPr>
          <w:rFonts w:hint="eastAsia" w:ascii="仿宋_GB2312" w:eastAsia="仿宋_GB2312"/>
          <w:sz w:val="32"/>
          <w:szCs w:val="32"/>
        </w:rPr>
      </w:pPr>
    </w:p>
    <w:p>
      <w:pPr>
        <w:widowControl/>
        <w:shd w:val="clear" w:color="auto" w:fill="FFFFFF"/>
        <w:spacing w:line="375" w:lineRule="atLeast"/>
        <w:ind w:firstLine="480"/>
        <w:jc w:val="left"/>
        <w:rPr>
          <w:rFonts w:hint="eastAsia" w:ascii="仿宋_GB2312" w:hAnsi="宋体" w:eastAsia="仿宋_GB2312" w:cs="宋体"/>
          <w:color w:val="3D3D3C"/>
          <w:kern w:val="0"/>
          <w:sz w:val="32"/>
          <w:szCs w:val="32"/>
          <w:shd w:val="clear" w:color="auto" w:fill="FFFFFF"/>
        </w:rPr>
      </w:pPr>
      <w:r>
        <w:rPr>
          <w:rFonts w:hint="eastAsia" w:ascii="仿宋_GB2312" w:eastAsia="仿宋_GB2312"/>
          <w:sz w:val="32"/>
          <w:szCs w:val="32"/>
        </w:rPr>
        <w:t>对个人和家庭的补助支出（30</w:t>
      </w:r>
      <w:r>
        <w:rPr>
          <w:rFonts w:hint="eastAsia" w:ascii="仿宋_GB2312" w:eastAsia="仿宋_GB2312"/>
          <w:sz w:val="32"/>
          <w:szCs w:val="32"/>
          <w:lang w:val="en-US" w:eastAsia="zh-CN"/>
        </w:rPr>
        <w:t>3</w:t>
      </w:r>
      <w:r>
        <w:rPr>
          <w:rFonts w:hint="eastAsia" w:ascii="仿宋_GB2312" w:eastAsia="仿宋_GB2312"/>
          <w:sz w:val="32"/>
          <w:szCs w:val="32"/>
        </w:rPr>
        <w:t>）5.2</w:t>
      </w:r>
      <w:r>
        <w:rPr>
          <w:rFonts w:hint="eastAsia" w:ascii="仿宋_GB2312" w:eastAsia="仿宋_GB2312"/>
          <w:sz w:val="32"/>
          <w:szCs w:val="32"/>
          <w:lang w:val="en-US" w:eastAsia="zh-CN"/>
        </w:rPr>
        <w:t>9</w:t>
      </w:r>
      <w:r>
        <w:rPr>
          <w:rFonts w:hint="eastAsia" w:ascii="仿宋_GB2312" w:eastAsia="仿宋_GB2312"/>
          <w:sz w:val="32"/>
          <w:szCs w:val="32"/>
        </w:rPr>
        <w:t>万元，较上年</w:t>
      </w:r>
      <w:r>
        <w:rPr>
          <w:rFonts w:hint="eastAsia" w:ascii="仿宋_GB2312" w:eastAsia="仿宋_GB2312"/>
          <w:sz w:val="32"/>
          <w:szCs w:val="32"/>
          <w:lang w:eastAsia="zh-CN"/>
        </w:rPr>
        <w:t>增加</w:t>
      </w:r>
      <w:r>
        <w:rPr>
          <w:rFonts w:hint="eastAsia" w:ascii="仿宋_GB2312" w:eastAsia="仿宋_GB2312"/>
          <w:sz w:val="32"/>
          <w:szCs w:val="32"/>
          <w:lang w:val="en-US" w:eastAsia="zh-CN"/>
        </w:rPr>
        <w:t>0.04</w:t>
      </w:r>
      <w:r>
        <w:rPr>
          <w:rFonts w:hint="eastAsia" w:ascii="仿宋_GB2312" w:eastAsia="仿宋_GB2312"/>
          <w:sz w:val="32"/>
          <w:szCs w:val="32"/>
        </w:rPr>
        <w:t>万元，原因是</w:t>
      </w:r>
      <w:r>
        <w:rPr>
          <w:rFonts w:hint="eastAsia" w:ascii="仿宋_GB2312" w:hAnsi="宋体" w:eastAsia="仿宋_GB2312" w:cs="宋体"/>
          <w:color w:val="3D3D3C"/>
          <w:kern w:val="0"/>
          <w:sz w:val="32"/>
          <w:szCs w:val="32"/>
          <w:shd w:val="clear" w:color="auto" w:fill="FFFFFF"/>
          <w:lang w:bidi="ar"/>
        </w:rPr>
        <w:t>遗属人员</w:t>
      </w:r>
      <w:r>
        <w:rPr>
          <w:rFonts w:hint="eastAsia" w:ascii="仿宋_GB2312" w:hAnsi="宋体" w:eastAsia="仿宋_GB2312" w:cs="宋体"/>
          <w:color w:val="3D3D3C"/>
          <w:kern w:val="0"/>
          <w:sz w:val="32"/>
          <w:szCs w:val="32"/>
          <w:shd w:val="clear" w:color="auto" w:fill="FFFFFF"/>
          <w:lang w:eastAsia="zh-CN" w:bidi="ar"/>
        </w:rPr>
        <w:t>正常调资</w:t>
      </w:r>
      <w:r>
        <w:rPr>
          <w:rFonts w:hint="eastAsia" w:ascii="仿宋_GB2312" w:hAnsi="宋体" w:eastAsia="仿宋_GB2312" w:cs="宋体"/>
          <w:color w:val="3D3D3C"/>
          <w:kern w:val="0"/>
          <w:sz w:val="32"/>
          <w:szCs w:val="32"/>
          <w:shd w:val="clear" w:color="auto" w:fill="FFFFFF"/>
          <w:lang w:bidi="ar"/>
        </w:rPr>
        <w:t xml:space="preserve">。 </w:t>
      </w:r>
    </w:p>
    <w:p>
      <w:pPr>
        <w:adjustRightInd w:val="0"/>
        <w:snapToGrid w:val="0"/>
        <w:spacing w:line="360" w:lineRule="auto"/>
        <w:ind w:firstLine="480" w:firstLineChars="150"/>
        <w:rPr>
          <w:rFonts w:hint="eastAsia" w:ascii="仿宋_GB2312" w:hAnsi="仿宋" w:eastAsia="仿宋_GB2312"/>
          <w:sz w:val="32"/>
          <w:szCs w:val="32"/>
        </w:rPr>
      </w:pPr>
      <w:r>
        <w:rPr>
          <w:rFonts w:hint="eastAsia" w:ascii="仿宋_GB2312" w:eastAsia="仿宋_GB2312"/>
          <w:sz w:val="32"/>
          <w:szCs w:val="32"/>
        </w:rPr>
        <w:t>（四）政府性基金预算支出情况。</w:t>
      </w:r>
    </w:p>
    <w:p>
      <w:pPr>
        <w:ind w:firstLine="640" w:firstLineChars="200"/>
        <w:rPr>
          <w:rFonts w:hint="eastAsia" w:ascii="仿宋_GB2312" w:eastAsia="仿宋_GB2312"/>
          <w:sz w:val="32"/>
          <w:szCs w:val="32"/>
        </w:rPr>
      </w:pPr>
      <w:r>
        <w:rPr>
          <w:rFonts w:hint="eastAsia" w:ascii="仿宋_GB2312" w:eastAsia="仿宋_GB2312"/>
          <w:sz w:val="32"/>
          <w:szCs w:val="32"/>
        </w:rPr>
        <w:t>本部门无政府性基金预算收支，并已公开空表。</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（五）国有资本经营预算拨款收支情况。</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本部门无国有资本经营预算拨款收支。</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（六）“三公”经费等预算情况。</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年本部门一般公共预算“三公”经费预算支出0万元，较上年减少</w:t>
      </w:r>
      <w:r>
        <w:rPr>
          <w:rFonts w:hint="eastAsia" w:ascii="仿宋_GB2312" w:eastAsia="仿宋_GB2312"/>
          <w:sz w:val="32"/>
          <w:szCs w:val="32"/>
          <w:lang w:val="en-US" w:eastAsia="zh-CN"/>
        </w:rPr>
        <w:t>0</w:t>
      </w:r>
      <w:r>
        <w:rPr>
          <w:rFonts w:hint="eastAsia" w:ascii="仿宋_GB2312" w:eastAsia="仿宋_GB2312"/>
          <w:sz w:val="32"/>
          <w:szCs w:val="32"/>
        </w:rPr>
        <w:t>万元（100%）。公务用车预算减少</w:t>
      </w:r>
      <w:r>
        <w:rPr>
          <w:rFonts w:hint="eastAsia" w:ascii="仿宋_GB2312" w:eastAsia="仿宋_GB2312"/>
          <w:sz w:val="32"/>
          <w:szCs w:val="32"/>
          <w:lang w:val="en-US" w:eastAsia="zh-CN"/>
        </w:rPr>
        <w:t>0</w:t>
      </w:r>
      <w:r>
        <w:rPr>
          <w:rFonts w:hint="eastAsia" w:ascii="仿宋_GB2312" w:eastAsia="仿宋_GB2312"/>
          <w:sz w:val="32"/>
          <w:szCs w:val="32"/>
        </w:rPr>
        <w:t>万元，减少的主要原因是公车改革后公务用车运行维护费减少，预算减少。其中：</w:t>
      </w:r>
      <w:r>
        <w:rPr>
          <w:rFonts w:hint="eastAsia" w:ascii="仿宋" w:hAnsi="仿宋" w:eastAsia="仿宋" w:cs="仿宋"/>
          <w:color w:val="000000"/>
          <w:sz w:val="32"/>
          <w:szCs w:val="32"/>
        </w:rPr>
        <w:t>因公出国(境)预算支出0万元，上年亦无预算支出</w:t>
      </w:r>
      <w:r>
        <w:rPr>
          <w:rFonts w:hint="eastAsia" w:ascii="仿宋_GB2312" w:eastAsia="仿宋_GB2312"/>
          <w:sz w:val="32"/>
          <w:szCs w:val="32"/>
        </w:rPr>
        <w:t>；公务接待费0万元，</w:t>
      </w:r>
      <w:r>
        <w:rPr>
          <w:rFonts w:hint="eastAsia" w:ascii="仿宋" w:hAnsi="仿宋" w:eastAsia="仿宋" w:cs="仿宋"/>
          <w:color w:val="000000"/>
          <w:sz w:val="32"/>
          <w:szCs w:val="32"/>
        </w:rPr>
        <w:t>与上年相同无增减；</w:t>
      </w:r>
      <w:r>
        <w:rPr>
          <w:rFonts w:hint="eastAsia" w:ascii="仿宋_GB2312" w:eastAsia="仿宋_GB2312"/>
          <w:sz w:val="32"/>
          <w:szCs w:val="32"/>
        </w:rPr>
        <w:t>公务用车运行维护费0万元，较上年减少</w:t>
      </w:r>
      <w:r>
        <w:rPr>
          <w:rFonts w:hint="eastAsia" w:ascii="仿宋_GB2312" w:eastAsia="仿宋_GB2312"/>
          <w:sz w:val="32"/>
          <w:szCs w:val="32"/>
          <w:lang w:val="en-US" w:eastAsia="zh-CN"/>
        </w:rPr>
        <w:t>0</w:t>
      </w:r>
      <w:r>
        <w:rPr>
          <w:rFonts w:hint="eastAsia" w:ascii="仿宋_GB2312" w:eastAsia="仿宋_GB2312"/>
          <w:sz w:val="32"/>
          <w:szCs w:val="32"/>
        </w:rPr>
        <w:t>万元（100%），减少的主要原因是公车改革后公务用车运行维护费减少；公务用车购置费0万元，</w:t>
      </w:r>
      <w:r>
        <w:rPr>
          <w:rFonts w:hint="eastAsia" w:ascii="仿宋" w:hAnsi="仿宋" w:eastAsia="仿宋" w:cs="仿宋"/>
          <w:color w:val="000000"/>
          <w:sz w:val="32"/>
          <w:szCs w:val="32"/>
        </w:rPr>
        <w:t>上年亦无预算支出</w:t>
      </w:r>
      <w:r>
        <w:rPr>
          <w:rFonts w:hint="eastAsia" w:ascii="仿宋_GB2312" w:eastAsia="仿宋_GB2312"/>
          <w:sz w:val="32"/>
          <w:szCs w:val="32"/>
        </w:rPr>
        <w:t>。</w:t>
      </w:r>
    </w:p>
    <w:p>
      <w:pPr>
        <w:adjustRightInd w:val="0"/>
        <w:snapToGrid w:val="0"/>
        <w:spacing w:line="360" w:lineRule="auto"/>
        <w:ind w:firstLine="640" w:firstLineChars="200"/>
        <w:rPr>
          <w:rFonts w:hint="eastAsia" w:ascii="仿宋_GB2312" w:eastAsia="仿宋_GB2312"/>
          <w:sz w:val="32"/>
          <w:szCs w:val="32"/>
        </w:rPr>
      </w:pP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年会议费预算支出0元，与上年相同无增减；</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年培训费预算支出0元，与上年相同无增减</w:t>
      </w:r>
      <w:r>
        <w:rPr>
          <w:rFonts w:hint="eastAsia" w:ascii="仿宋_GB2312" w:eastAsia="仿宋_GB2312"/>
          <w:sz w:val="32"/>
          <w:szCs w:val="32"/>
        </w:rPr>
        <w:t>七）机关运行经费安排情况。</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lang w:eastAsia="zh-CN"/>
        </w:rPr>
        <w:t>（七）</w:t>
      </w:r>
      <w:r>
        <w:rPr>
          <w:rFonts w:hint="eastAsia" w:ascii="仿宋_GB2312" w:eastAsia="仿宋_GB2312"/>
          <w:sz w:val="32"/>
          <w:szCs w:val="32"/>
        </w:rPr>
        <w:t>机关运行经费安排情况。</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本部门</w:t>
      </w:r>
      <w:r>
        <w:rPr>
          <w:rFonts w:hint="eastAsia" w:ascii="仿宋_GB2312" w:eastAsia="仿宋_GB2312"/>
          <w:sz w:val="32"/>
          <w:szCs w:val="32"/>
          <w:lang w:val="en-US" w:eastAsia="zh-CN"/>
        </w:rPr>
        <w:t>2020</w:t>
      </w:r>
      <w:r>
        <w:rPr>
          <w:rFonts w:hint="eastAsia" w:ascii="仿宋_GB2312" w:eastAsia="仿宋_GB2312"/>
          <w:sz w:val="32"/>
          <w:szCs w:val="32"/>
        </w:rPr>
        <w:t>年机关运行经费预算安排</w:t>
      </w:r>
      <w:r>
        <w:rPr>
          <w:rFonts w:hint="eastAsia" w:ascii="仿宋_GB2312" w:eastAsia="仿宋_GB2312"/>
          <w:sz w:val="32"/>
          <w:szCs w:val="32"/>
          <w:lang w:val="en-US" w:eastAsia="zh-CN"/>
        </w:rPr>
        <w:t>759.35</w:t>
      </w:r>
      <w:r>
        <w:rPr>
          <w:rFonts w:hint="eastAsia" w:ascii="仿宋_GB2312" w:eastAsia="仿宋_GB2312"/>
          <w:sz w:val="32"/>
          <w:szCs w:val="32"/>
        </w:rPr>
        <w:t>万元，较上年增加</w:t>
      </w:r>
      <w:r>
        <w:rPr>
          <w:rFonts w:hint="eastAsia" w:ascii="仿宋_GB2312" w:eastAsia="仿宋_GB2312"/>
          <w:sz w:val="32"/>
          <w:szCs w:val="32"/>
          <w:lang w:val="en-US" w:eastAsia="zh-CN"/>
        </w:rPr>
        <w:t>18.98</w:t>
      </w:r>
      <w:r>
        <w:rPr>
          <w:rFonts w:hint="eastAsia" w:ascii="仿宋_GB2312" w:eastAsia="仿宋_GB2312"/>
          <w:sz w:val="32"/>
          <w:szCs w:val="32"/>
        </w:rPr>
        <w:t>万元，原因是人员增加，公车补贴、公用经费增加。</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（八）政府采购情况。</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本部门</w:t>
      </w:r>
      <w:r>
        <w:rPr>
          <w:rFonts w:hint="eastAsia" w:ascii="仿宋_GB2312" w:eastAsia="仿宋_GB2312"/>
          <w:sz w:val="32"/>
          <w:szCs w:val="32"/>
          <w:lang w:val="en-US" w:eastAsia="zh-CN"/>
        </w:rPr>
        <w:t>2020</w:t>
      </w:r>
      <w:r>
        <w:rPr>
          <w:rFonts w:hint="eastAsia" w:ascii="仿宋_GB2312" w:eastAsia="仿宋_GB2312"/>
          <w:sz w:val="32"/>
          <w:szCs w:val="32"/>
        </w:rPr>
        <w:t>年无政府采购预算，并已公开空表。</w:t>
      </w:r>
    </w:p>
    <w:p>
      <w:pPr>
        <w:adjustRightInd w:val="0"/>
        <w:snapToGrid w:val="0"/>
        <w:spacing w:line="360" w:lineRule="auto"/>
        <w:ind w:firstLine="640" w:firstLineChars="200"/>
        <w:rPr>
          <w:rFonts w:hint="eastAsia" w:ascii="仿宋_GB2312" w:eastAsia="仿宋_GB2312"/>
          <w:sz w:val="32"/>
          <w:szCs w:val="32"/>
        </w:rPr>
      </w:pP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第三部分  其他说明情况</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六、部门预算“三公”经费等预算情况说明</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（六）“三公”经费等预算情况。</w:t>
      </w:r>
    </w:p>
    <w:p>
      <w:pPr>
        <w:adjustRightInd w:val="0"/>
        <w:snapToGrid w:val="0"/>
        <w:spacing w:line="360" w:lineRule="auto"/>
        <w:ind w:firstLine="640" w:firstLineChars="200"/>
        <w:rPr>
          <w:rFonts w:ascii="仿宋_GB2312" w:eastAsia="仿宋_GB2312"/>
          <w:sz w:val="32"/>
          <w:szCs w:val="32"/>
        </w:rPr>
      </w:pPr>
      <w:r>
        <w:rPr>
          <w:rFonts w:hint="eastAsia" w:ascii="仿宋_GB2312" w:eastAsia="仿宋_GB2312"/>
          <w:sz w:val="32"/>
          <w:szCs w:val="32"/>
        </w:rPr>
        <w:t>20</w:t>
      </w:r>
      <w:r>
        <w:rPr>
          <w:rFonts w:hint="eastAsia" w:ascii="仿宋_GB2312" w:eastAsia="仿宋_GB2312"/>
          <w:sz w:val="32"/>
          <w:szCs w:val="32"/>
          <w:lang w:val="en-US" w:eastAsia="zh-CN"/>
        </w:rPr>
        <w:t>20</w:t>
      </w:r>
      <w:r>
        <w:rPr>
          <w:rFonts w:hint="eastAsia" w:ascii="仿宋_GB2312" w:eastAsia="仿宋_GB2312"/>
          <w:sz w:val="32"/>
          <w:szCs w:val="32"/>
        </w:rPr>
        <w:t>年本部门一般公共预算“三公”经费预算支出0万元，较上年减少</w:t>
      </w:r>
      <w:r>
        <w:rPr>
          <w:rFonts w:hint="eastAsia" w:ascii="仿宋_GB2312" w:eastAsia="仿宋_GB2312"/>
          <w:sz w:val="32"/>
          <w:szCs w:val="32"/>
          <w:lang w:val="en-US" w:eastAsia="zh-CN"/>
        </w:rPr>
        <w:t>0</w:t>
      </w:r>
      <w:r>
        <w:rPr>
          <w:rFonts w:hint="eastAsia" w:ascii="仿宋_GB2312" w:eastAsia="仿宋_GB2312"/>
          <w:sz w:val="32"/>
          <w:szCs w:val="32"/>
        </w:rPr>
        <w:t>万元（100%）。公务用车预算减少</w:t>
      </w:r>
      <w:r>
        <w:rPr>
          <w:rFonts w:hint="eastAsia" w:ascii="仿宋_GB2312" w:eastAsia="仿宋_GB2312"/>
          <w:sz w:val="32"/>
          <w:szCs w:val="32"/>
          <w:lang w:val="en-US" w:eastAsia="zh-CN"/>
        </w:rPr>
        <w:t>0</w:t>
      </w:r>
      <w:r>
        <w:rPr>
          <w:rFonts w:hint="eastAsia" w:ascii="仿宋_GB2312" w:eastAsia="仿宋_GB2312"/>
          <w:sz w:val="32"/>
          <w:szCs w:val="32"/>
        </w:rPr>
        <w:t>万元，减少的主要原因是公车改革后公务用车运行维护费减少，预算减少。其中：</w:t>
      </w:r>
      <w:r>
        <w:rPr>
          <w:rFonts w:hint="eastAsia" w:ascii="仿宋" w:hAnsi="仿宋" w:eastAsia="仿宋" w:cs="仿宋"/>
          <w:color w:val="000000"/>
          <w:sz w:val="32"/>
          <w:szCs w:val="32"/>
        </w:rPr>
        <w:t>因公出国(境)预算支出0万元，上年亦无预算支出</w:t>
      </w:r>
      <w:r>
        <w:rPr>
          <w:rFonts w:hint="eastAsia" w:ascii="仿宋_GB2312" w:eastAsia="仿宋_GB2312"/>
          <w:sz w:val="32"/>
          <w:szCs w:val="32"/>
        </w:rPr>
        <w:t>；公务接待费0万元，</w:t>
      </w:r>
      <w:r>
        <w:rPr>
          <w:rFonts w:hint="eastAsia" w:ascii="仿宋" w:hAnsi="仿宋" w:eastAsia="仿宋" w:cs="仿宋"/>
          <w:color w:val="000000"/>
          <w:sz w:val="32"/>
          <w:szCs w:val="32"/>
        </w:rPr>
        <w:t>与上年相同无增减；</w:t>
      </w:r>
      <w:r>
        <w:rPr>
          <w:rFonts w:hint="eastAsia" w:ascii="仿宋_GB2312" w:eastAsia="仿宋_GB2312"/>
          <w:sz w:val="32"/>
          <w:szCs w:val="32"/>
        </w:rPr>
        <w:t>公务用车运行维护费0万元，较上年减少</w:t>
      </w:r>
      <w:r>
        <w:rPr>
          <w:rFonts w:hint="eastAsia" w:ascii="仿宋_GB2312" w:eastAsia="仿宋_GB2312"/>
          <w:sz w:val="32"/>
          <w:szCs w:val="32"/>
          <w:lang w:val="en-US" w:eastAsia="zh-CN"/>
        </w:rPr>
        <w:t>0</w:t>
      </w:r>
      <w:r>
        <w:rPr>
          <w:rFonts w:hint="eastAsia" w:ascii="仿宋_GB2312" w:eastAsia="仿宋_GB2312"/>
          <w:sz w:val="32"/>
          <w:szCs w:val="32"/>
        </w:rPr>
        <w:t>万元（100%），减少的主要原因是公车改革后公务用车运行维护费减少；公务用车购置费0万元，</w:t>
      </w:r>
      <w:r>
        <w:rPr>
          <w:rFonts w:hint="eastAsia" w:ascii="仿宋" w:hAnsi="仿宋" w:eastAsia="仿宋" w:cs="仿宋"/>
          <w:color w:val="000000"/>
          <w:sz w:val="32"/>
          <w:szCs w:val="32"/>
        </w:rPr>
        <w:t>上年亦无预算支出</w:t>
      </w:r>
      <w:r>
        <w:rPr>
          <w:rFonts w:hint="eastAsia" w:ascii="仿宋_GB2312" w:eastAsia="仿宋_GB2312"/>
          <w:sz w:val="32"/>
          <w:szCs w:val="32"/>
        </w:rPr>
        <w:t>。</w:t>
      </w:r>
    </w:p>
    <w:p>
      <w:pPr>
        <w:adjustRightInd w:val="0"/>
        <w:snapToGrid w:val="0"/>
        <w:spacing w:line="360" w:lineRule="auto"/>
        <w:ind w:firstLine="640" w:firstLineChars="200"/>
        <w:rPr>
          <w:rFonts w:hint="eastAsia" w:ascii="仿宋_GB2312" w:eastAsia="仿宋_GB2312"/>
          <w:sz w:val="32"/>
          <w:szCs w:val="32"/>
        </w:rPr>
      </w:pPr>
      <w:r>
        <w:rPr>
          <w:rFonts w:hint="eastAsia" w:ascii="仿宋" w:hAnsi="仿宋" w:eastAsia="仿宋" w:cs="仿宋"/>
          <w:color w:val="000000"/>
          <w:sz w:val="32"/>
          <w:szCs w:val="32"/>
        </w:rPr>
        <w:t>20</w:t>
      </w:r>
      <w:r>
        <w:rPr>
          <w:rFonts w:hint="eastAsia" w:ascii="仿宋" w:hAnsi="仿宋" w:eastAsia="仿宋" w:cs="仿宋"/>
          <w:color w:val="000000"/>
          <w:sz w:val="32"/>
          <w:szCs w:val="32"/>
          <w:lang w:val="en-US" w:eastAsia="zh-CN"/>
        </w:rPr>
        <w:t>20</w:t>
      </w:r>
      <w:r>
        <w:rPr>
          <w:rFonts w:hint="eastAsia" w:ascii="仿宋" w:hAnsi="仿宋" w:eastAsia="仿宋" w:cs="仿宋"/>
          <w:color w:val="000000"/>
          <w:sz w:val="32"/>
          <w:szCs w:val="32"/>
        </w:rPr>
        <w:t>年会议费预算支出0元，与上年相同无增减；</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年培训费预算支出0元，与上年相同无增减</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七、部门国有资产占有使用及资产购置情况说明</w:t>
      </w:r>
    </w:p>
    <w:p>
      <w:pPr>
        <w:spacing w:line="360" w:lineRule="auto"/>
        <w:ind w:firstLine="643"/>
        <w:rPr>
          <w:rFonts w:hint="eastAsia" w:ascii="仿宋_GB2312" w:eastAsia="仿宋_GB2312"/>
          <w:sz w:val="32"/>
          <w:szCs w:val="32"/>
        </w:rPr>
      </w:pPr>
      <w:r>
        <w:rPr>
          <w:rFonts w:hint="eastAsia" w:ascii="仿宋_GB2312" w:eastAsia="仿宋_GB2312"/>
          <w:sz w:val="32"/>
          <w:szCs w:val="32"/>
        </w:rPr>
        <w:t xml:space="preserve"> 截止201</w:t>
      </w:r>
      <w:r>
        <w:rPr>
          <w:rFonts w:hint="eastAsia" w:ascii="仿宋_GB2312" w:eastAsia="仿宋_GB2312"/>
          <w:sz w:val="32"/>
          <w:szCs w:val="32"/>
          <w:lang w:val="en-US" w:eastAsia="zh-CN"/>
        </w:rPr>
        <w:t>9</w:t>
      </w:r>
      <w:r>
        <w:rPr>
          <w:rFonts w:hint="eastAsia" w:ascii="仿宋_GB2312" w:eastAsia="仿宋_GB2312"/>
          <w:sz w:val="32"/>
          <w:szCs w:val="32"/>
        </w:rPr>
        <w:t>年底，本部门所属预算单位共有车辆3</w:t>
      </w:r>
      <w:r>
        <w:rPr>
          <w:rFonts w:hint="eastAsia" w:ascii="仿宋_GB2312" w:eastAsia="仿宋_GB2312"/>
          <w:sz w:val="32"/>
          <w:szCs w:val="32"/>
          <w:lang w:val="en-US" w:eastAsia="zh-CN"/>
        </w:rPr>
        <w:t>7</w:t>
      </w:r>
      <w:r>
        <w:rPr>
          <w:rFonts w:hint="eastAsia" w:ascii="仿宋_GB2312" w:eastAsia="仿宋_GB2312"/>
          <w:sz w:val="32"/>
          <w:szCs w:val="32"/>
        </w:rPr>
        <w:t>辆，一般公务用车</w:t>
      </w:r>
      <w:r>
        <w:rPr>
          <w:rFonts w:hint="eastAsia" w:ascii="仿宋_GB2312" w:eastAsia="仿宋_GB2312"/>
          <w:sz w:val="32"/>
          <w:szCs w:val="32"/>
          <w:lang w:val="en-US" w:eastAsia="zh-CN"/>
        </w:rPr>
        <w:t>20</w:t>
      </w:r>
      <w:r>
        <w:rPr>
          <w:rFonts w:hint="eastAsia" w:ascii="仿宋_GB2312" w:eastAsia="仿宋_GB2312"/>
          <w:sz w:val="32"/>
          <w:szCs w:val="32"/>
        </w:rPr>
        <w:t>辆，执法执勤用车17辆；无单价20万元以上的设备。</w:t>
      </w:r>
      <w:r>
        <w:rPr>
          <w:rFonts w:hint="eastAsia" w:ascii="仿宋_GB2312" w:eastAsia="仿宋_GB2312"/>
          <w:sz w:val="32"/>
          <w:szCs w:val="32"/>
          <w:lang w:val="en-US" w:eastAsia="zh-CN"/>
        </w:rPr>
        <w:t>2020</w:t>
      </w:r>
      <w:r>
        <w:rPr>
          <w:rFonts w:hint="eastAsia" w:ascii="仿宋_GB2312" w:eastAsia="仿宋_GB2312"/>
          <w:sz w:val="32"/>
          <w:szCs w:val="32"/>
        </w:rPr>
        <w:t>年本部门无车辆购置安排及单价20万元以上的设备购置</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八、部门政府采购情况说明</w:t>
      </w:r>
    </w:p>
    <w:p>
      <w:pPr>
        <w:spacing w:line="360" w:lineRule="auto"/>
        <w:ind w:firstLine="640"/>
        <w:rPr>
          <w:rFonts w:ascii="仿宋" w:hAnsi="仿宋" w:eastAsia="仿宋" w:cs="仿宋"/>
          <w:sz w:val="32"/>
          <w:szCs w:val="32"/>
        </w:rPr>
      </w:pPr>
      <w:r>
        <w:rPr>
          <w:rFonts w:hint="eastAsia" w:ascii="仿宋_GB2312" w:eastAsia="仿宋_GB2312"/>
          <w:sz w:val="32"/>
          <w:szCs w:val="32"/>
        </w:rPr>
        <w:t>本部门</w:t>
      </w:r>
      <w:r>
        <w:rPr>
          <w:rFonts w:hint="eastAsia" w:ascii="仿宋_GB2312" w:eastAsia="仿宋_GB2312"/>
          <w:sz w:val="32"/>
          <w:szCs w:val="32"/>
          <w:lang w:val="en-US" w:eastAsia="zh-CN"/>
        </w:rPr>
        <w:t>2020</w:t>
      </w:r>
      <w:r>
        <w:rPr>
          <w:rFonts w:hint="eastAsia" w:ascii="仿宋_GB2312" w:eastAsia="仿宋_GB2312"/>
          <w:sz w:val="32"/>
          <w:szCs w:val="32"/>
        </w:rPr>
        <w:t>年无政府采购预算，并已公开空表。</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九、部门预算绩效目标说明</w:t>
      </w:r>
    </w:p>
    <w:p>
      <w:pPr>
        <w:ind w:firstLine="640" w:firstLineChars="200"/>
        <w:rPr>
          <w:rFonts w:hint="eastAsia" w:ascii="仿宋_GB2312" w:eastAsia="仿宋_GB2312"/>
          <w:sz w:val="32"/>
          <w:szCs w:val="32"/>
        </w:rPr>
      </w:pPr>
      <w:r>
        <w:rPr>
          <w:rFonts w:hint="eastAsia" w:ascii="仿宋_GB2312" w:eastAsia="仿宋_GB2312"/>
          <w:sz w:val="32"/>
          <w:szCs w:val="32"/>
          <w:lang w:val="en-US" w:eastAsia="zh-CN"/>
        </w:rPr>
        <w:t>2020</w:t>
      </w:r>
      <w:r>
        <w:rPr>
          <w:rFonts w:hint="eastAsia" w:ascii="仿宋_GB2312" w:eastAsia="仿宋_GB2312"/>
          <w:sz w:val="32"/>
          <w:szCs w:val="32"/>
        </w:rPr>
        <w:t>年本部门实现了绩效目标管理全覆盖，涉及一般公共预算当年拨款</w:t>
      </w:r>
      <w:r>
        <w:rPr>
          <w:rFonts w:hint="eastAsia" w:ascii="仿宋_GB2312" w:eastAsia="仿宋_GB2312"/>
          <w:sz w:val="32"/>
          <w:szCs w:val="32"/>
          <w:lang w:val="en-US" w:eastAsia="zh-CN"/>
        </w:rPr>
        <w:t>759.35</w:t>
      </w:r>
      <w:r>
        <w:rPr>
          <w:rFonts w:hint="eastAsia" w:ascii="仿宋_GB2312" w:eastAsia="仿宋_GB2312"/>
          <w:sz w:val="32"/>
          <w:szCs w:val="32"/>
        </w:rPr>
        <w:t>万元。</w:t>
      </w:r>
    </w:p>
    <w:p>
      <w:pPr>
        <w:spacing w:line="360" w:lineRule="auto"/>
        <w:ind w:firstLine="643"/>
        <w:rPr>
          <w:rFonts w:ascii="仿宋" w:hAnsi="仿宋" w:eastAsia="仿宋" w:cs="仿宋"/>
          <w:sz w:val="32"/>
          <w:szCs w:val="32"/>
        </w:rPr>
      </w:pPr>
      <w:r>
        <w:rPr>
          <w:rFonts w:hint="eastAsia" w:ascii="仿宋" w:hAnsi="仿宋" w:eastAsia="仿宋" w:cs="仿宋"/>
          <w:b/>
          <w:bCs/>
          <w:sz w:val="32"/>
          <w:szCs w:val="32"/>
        </w:rPr>
        <w:t>十、机关运行经费安排说明</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机关运行经费安排情况。</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本部门</w:t>
      </w:r>
      <w:r>
        <w:rPr>
          <w:rFonts w:hint="eastAsia" w:ascii="仿宋_GB2312" w:eastAsia="仿宋_GB2312"/>
          <w:sz w:val="32"/>
          <w:szCs w:val="32"/>
          <w:lang w:val="en-US" w:eastAsia="zh-CN"/>
        </w:rPr>
        <w:t>2020</w:t>
      </w:r>
      <w:r>
        <w:rPr>
          <w:rFonts w:hint="eastAsia" w:ascii="仿宋_GB2312" w:eastAsia="仿宋_GB2312"/>
          <w:sz w:val="32"/>
          <w:szCs w:val="32"/>
        </w:rPr>
        <w:t>年机关运行经费预算安排</w:t>
      </w:r>
      <w:r>
        <w:rPr>
          <w:rFonts w:hint="eastAsia" w:ascii="仿宋_GB2312" w:eastAsia="仿宋_GB2312"/>
          <w:sz w:val="32"/>
          <w:szCs w:val="32"/>
          <w:lang w:val="en-US" w:eastAsia="zh-CN"/>
        </w:rPr>
        <w:t>759.35</w:t>
      </w:r>
      <w:r>
        <w:rPr>
          <w:rFonts w:hint="eastAsia" w:ascii="仿宋_GB2312" w:eastAsia="仿宋_GB2312"/>
          <w:sz w:val="32"/>
          <w:szCs w:val="32"/>
        </w:rPr>
        <w:t>万元，较上年增加</w:t>
      </w:r>
      <w:r>
        <w:rPr>
          <w:rFonts w:hint="eastAsia" w:ascii="仿宋_GB2312" w:eastAsia="仿宋_GB2312"/>
          <w:sz w:val="32"/>
          <w:szCs w:val="32"/>
          <w:lang w:val="en-US" w:eastAsia="zh-CN"/>
        </w:rPr>
        <w:t>18.98</w:t>
      </w:r>
      <w:r>
        <w:rPr>
          <w:rFonts w:hint="eastAsia" w:ascii="仿宋_GB2312" w:eastAsia="仿宋_GB2312"/>
          <w:sz w:val="32"/>
          <w:szCs w:val="32"/>
        </w:rPr>
        <w:t>万元，原因是人员增加，公车补贴、公用经费增加。</w:t>
      </w:r>
    </w:p>
    <w:p>
      <w:pPr>
        <w:spacing w:line="360" w:lineRule="auto"/>
        <w:ind w:firstLine="643"/>
        <w:rPr>
          <w:rFonts w:ascii="仿宋" w:hAnsi="仿宋" w:eastAsia="仿宋" w:cs="仿宋"/>
          <w:b/>
          <w:bCs/>
          <w:sz w:val="32"/>
          <w:szCs w:val="32"/>
        </w:rPr>
      </w:pPr>
      <w:r>
        <w:rPr>
          <w:rFonts w:hint="eastAsia" w:ascii="仿宋" w:hAnsi="仿宋" w:eastAsia="仿宋" w:cs="仿宋"/>
          <w:b/>
          <w:bCs/>
          <w:sz w:val="32"/>
          <w:szCs w:val="32"/>
        </w:rPr>
        <w:t>十一、专业名词解释</w:t>
      </w:r>
    </w:p>
    <w:p>
      <w:pPr>
        <w:adjustRightInd w:val="0"/>
        <w:snapToGrid w:val="0"/>
        <w:spacing w:line="360" w:lineRule="auto"/>
        <w:ind w:firstLine="640" w:firstLineChars="200"/>
        <w:rPr>
          <w:rFonts w:hint="eastAsia" w:ascii="仿宋_GB2312" w:eastAsia="仿宋_GB2312"/>
          <w:sz w:val="32"/>
          <w:szCs w:val="32"/>
        </w:rPr>
      </w:pPr>
      <w:r>
        <w:rPr>
          <w:rFonts w:hint="eastAsia" w:ascii="仿宋_GB2312" w:eastAsia="仿宋_GB2312"/>
          <w:sz w:val="32"/>
          <w:szCs w:val="32"/>
        </w:rPr>
        <w:t>1.机关运行经费：指各部门的公用经费，包括办公及印刷费、邮电费、差旅费、会议费、福利费、日常维修费、专用材料及一般设备购置费、办公用房水电费、办公用房取暖费、办公用房物业管理费、公务用车运行维护费以及其他费用。</w:t>
      </w:r>
    </w:p>
    <w:p>
      <w:pPr>
        <w:pStyle w:val="4"/>
        <w:widowControl/>
        <w:shd w:val="clear" w:color="auto" w:fill="FFFFFF"/>
        <w:ind w:firstLine="579" w:firstLineChars="181"/>
        <w:rPr>
          <w:rFonts w:hint="eastAsia" w:ascii="仿宋_GB2312" w:hAnsi="微软雅黑" w:eastAsia="仿宋_GB2312" w:cs="微软雅黑"/>
          <w:color w:val="3D3D3C"/>
          <w:sz w:val="32"/>
          <w:szCs w:val="32"/>
        </w:rPr>
      </w:pPr>
      <w:r>
        <w:rPr>
          <w:rFonts w:hint="eastAsia" w:ascii="仿宋_GB2312" w:eastAsia="仿宋_GB2312"/>
          <w:sz w:val="32"/>
          <w:szCs w:val="32"/>
        </w:rPr>
        <w:t>2.</w:t>
      </w:r>
      <w:r>
        <w:rPr>
          <w:rFonts w:hint="eastAsia" w:ascii="仿宋_GB2312" w:hAnsi="微软雅黑" w:eastAsia="仿宋_GB2312" w:cs="微软雅黑"/>
          <w:color w:val="3D3D3C"/>
          <w:sz w:val="32"/>
          <w:szCs w:val="32"/>
          <w:shd w:val="clear" w:color="auto" w:fill="FFFFFF"/>
        </w:rPr>
        <w:t>基本支出：指为保障机构正常运转、完成日常工作任务而发生的各项支出。</w:t>
      </w:r>
    </w:p>
    <w:p>
      <w:pPr>
        <w:pStyle w:val="4"/>
        <w:widowControl/>
        <w:shd w:val="clear" w:color="auto" w:fill="FFFFFF"/>
        <w:ind w:firstLine="579" w:firstLineChars="181"/>
        <w:rPr>
          <w:rFonts w:hint="eastAsia" w:ascii="仿宋_GB2312" w:hAnsi="微软雅黑" w:eastAsia="仿宋_GB2312" w:cs="微软雅黑"/>
          <w:color w:val="3D3D3C"/>
          <w:sz w:val="32"/>
          <w:szCs w:val="32"/>
        </w:rPr>
      </w:pPr>
      <w:r>
        <w:rPr>
          <w:rFonts w:hint="eastAsia" w:ascii="仿宋_GB2312" w:hAnsi="微软雅黑" w:eastAsia="仿宋_GB2312" w:cs="微软雅黑"/>
          <w:color w:val="3D3D3C"/>
          <w:sz w:val="32"/>
          <w:szCs w:val="32"/>
          <w:shd w:val="clear" w:color="auto" w:fill="FFFFFF"/>
        </w:rPr>
        <w:t>3、项目支出：指单位为完成特定的行政工作任务或事业发展目标所发生的各项支出。</w:t>
      </w:r>
    </w:p>
    <w:p>
      <w:pPr>
        <w:pStyle w:val="4"/>
        <w:widowControl/>
        <w:shd w:val="clear" w:color="auto" w:fill="FFFFFF"/>
        <w:ind w:firstLine="579" w:firstLineChars="181"/>
        <w:rPr>
          <w:rFonts w:hint="eastAsia" w:ascii="仿宋_GB2312" w:eastAsia="仿宋_GB2312"/>
          <w:sz w:val="32"/>
          <w:szCs w:val="32"/>
          <w:shd w:val="clear" w:color="auto" w:fill="FFFFFF"/>
        </w:rPr>
      </w:pPr>
      <w:r>
        <w:rPr>
          <w:rFonts w:hint="eastAsia" w:ascii="仿宋_GB2312" w:eastAsia="仿宋_GB2312"/>
          <w:sz w:val="32"/>
          <w:szCs w:val="32"/>
          <w:shd w:val="clear" w:color="auto" w:fill="FFFFFF"/>
        </w:rPr>
        <w:t>4、“三公”经费：指部门使用一般公共预算财政拨款安排的因公出国（境）费、公务用车购置及运行费和公务接待费支出</w:t>
      </w:r>
    </w:p>
    <w:p>
      <w:pPr>
        <w:spacing w:line="360" w:lineRule="auto"/>
        <w:ind w:firstLine="643"/>
        <w:jc w:val="center"/>
        <w:rPr>
          <w:rFonts w:ascii="仿宋" w:hAnsi="仿宋" w:eastAsia="仿宋" w:cs="仿宋"/>
          <w:b/>
          <w:bCs/>
          <w:sz w:val="32"/>
          <w:szCs w:val="32"/>
        </w:rPr>
      </w:pPr>
      <w:r>
        <w:rPr>
          <w:rFonts w:hint="eastAsia" w:ascii="仿宋" w:hAnsi="仿宋" w:eastAsia="仿宋" w:cs="仿宋"/>
          <w:b/>
          <w:bCs/>
          <w:sz w:val="32"/>
          <w:szCs w:val="32"/>
        </w:rPr>
        <w:t>第四部分  公开报表</w:t>
      </w:r>
    </w:p>
    <w:p>
      <w:pPr>
        <w:tabs>
          <w:tab w:val="left" w:pos="0"/>
        </w:tabs>
        <w:jc w:val="left"/>
        <w:rPr>
          <w:rFonts w:hint="eastAsia" w:ascii="仿宋" w:hAnsi="仿宋" w:eastAsia="仿宋" w:cs="仿宋"/>
          <w:sz w:val="32"/>
          <w:szCs w:val="32"/>
        </w:rPr>
      </w:pPr>
      <w:r>
        <w:rPr>
          <w:rFonts w:hint="eastAsia" w:ascii="仿宋" w:hAnsi="仿宋" w:eastAsia="仿宋" w:cs="仿宋"/>
          <w:sz w:val="32"/>
          <w:szCs w:val="32"/>
        </w:rPr>
        <w:t>（见附件2内容）</w:t>
      </w:r>
      <w:r>
        <w:rPr>
          <w:rFonts w:hint="eastAsia" w:ascii="仿宋" w:hAnsi="仿宋" w:eastAsia="仿宋" w:cs="仿宋"/>
          <w:sz w:val="32"/>
          <w:szCs w:val="32"/>
        </w:rPr>
        <w:tab/>
      </w:r>
    </w:p>
    <w:p>
      <w:pPr>
        <w:tabs>
          <w:tab w:val="left" w:pos="0"/>
        </w:tabs>
        <w:jc w:val="left"/>
        <w:rPr>
          <w:rFonts w:hint="eastAsia" w:ascii="仿宋" w:hAnsi="仿宋" w:eastAsia="仿宋" w:cs="仿宋"/>
          <w:color w:val="000000"/>
          <w:sz w:val="32"/>
          <w:szCs w:val="32"/>
        </w:rPr>
      </w:pPr>
      <w:r>
        <w:rPr>
          <w:rFonts w:hint="eastAsia" w:ascii="仿宋" w:hAnsi="仿宋" w:eastAsia="仿宋" w:cs="仿宋"/>
          <w:color w:val="000000"/>
          <w:sz w:val="32"/>
          <w:szCs w:val="32"/>
        </w:rPr>
        <w:t>附表：(一)</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年部门综合预算收支总表</w:t>
      </w:r>
      <w:r>
        <w:rPr>
          <w:rFonts w:hint="eastAsia" w:ascii="仿宋" w:hAnsi="仿宋" w:eastAsia="仿宋" w:cs="仿宋"/>
          <w:color w:val="000000"/>
          <w:sz w:val="32"/>
          <w:szCs w:val="32"/>
        </w:rPr>
        <w:br w:type="textWrapping"/>
      </w:r>
      <w:r>
        <w:rPr>
          <w:rFonts w:hint="eastAsia" w:ascii="仿宋" w:hAnsi="仿宋" w:eastAsia="仿宋" w:cs="仿宋"/>
          <w:color w:val="000000"/>
          <w:sz w:val="32"/>
          <w:szCs w:val="32"/>
        </w:rPr>
        <w:t xml:space="preserve">      </w:t>
      </w:r>
      <w:r>
        <w:rPr>
          <w:rFonts w:hint="eastAsia" w:ascii="仿宋" w:hAnsi="仿宋" w:eastAsia="仿宋" w:cs="仿宋"/>
          <w:color w:val="000000"/>
          <w:sz w:val="32"/>
          <w:szCs w:val="32"/>
          <w:lang w:val="en-US" w:eastAsia="zh-CN"/>
        </w:rPr>
        <w:t xml:space="preserve">    </w:t>
      </w:r>
      <w:r>
        <w:rPr>
          <w:rFonts w:hint="eastAsia" w:ascii="仿宋" w:hAnsi="仿宋" w:eastAsia="仿宋" w:cs="仿宋"/>
          <w:color w:val="000000"/>
          <w:sz w:val="32"/>
          <w:szCs w:val="32"/>
        </w:rPr>
        <w:t xml:space="preserve">(二) </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年部门综合预算收入总表</w:t>
      </w:r>
    </w:p>
    <w:p>
      <w:pPr>
        <w:numPr>
          <w:ilvl w:val="0"/>
          <w:numId w:val="2"/>
        </w:numPr>
        <w:tabs>
          <w:tab w:val="left" w:pos="0"/>
          <w:tab w:val="clear" w:pos="312"/>
        </w:tabs>
        <w:jc w:val="left"/>
        <w:rPr>
          <w:rFonts w:hint="eastAsia" w:ascii="仿宋" w:hAnsi="仿宋" w:eastAsia="仿宋" w:cs="仿宋"/>
          <w:color w:val="000000"/>
          <w:sz w:val="32"/>
          <w:szCs w:val="32"/>
        </w:rPr>
      </w:pP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年部门综合预算支出总表</w:t>
      </w:r>
    </w:p>
    <w:p>
      <w:pPr>
        <w:tabs>
          <w:tab w:val="left" w:pos="0"/>
        </w:tabs>
        <w:ind w:firstLine="1600" w:firstLineChars="500"/>
        <w:jc w:val="lef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(四) </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年部门综合预算财政拨款收支总表</w:t>
      </w:r>
    </w:p>
    <w:p>
      <w:pPr>
        <w:tabs>
          <w:tab w:val="left" w:pos="0"/>
        </w:tabs>
        <w:ind w:firstLine="1600" w:firstLineChars="500"/>
        <w:jc w:val="left"/>
        <w:rPr>
          <w:rFonts w:hint="eastAsia" w:ascii="仿宋" w:hAnsi="仿宋" w:eastAsia="仿宋" w:cs="仿宋"/>
          <w:color w:val="000000"/>
          <w:sz w:val="32"/>
          <w:szCs w:val="32"/>
        </w:rPr>
      </w:pPr>
      <w:r>
        <w:rPr>
          <w:rFonts w:hint="eastAsia" w:ascii="仿宋" w:hAnsi="仿宋" w:eastAsia="仿宋" w:cs="仿宋"/>
          <w:color w:val="000000"/>
          <w:sz w:val="32"/>
          <w:szCs w:val="32"/>
        </w:rPr>
        <w:t>（五） </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年部门综合预算一般公共预算支出明细表（按功能科目分）</w:t>
      </w:r>
      <w:r>
        <w:rPr>
          <w:rFonts w:hint="eastAsia" w:ascii="仿宋" w:hAnsi="仿宋" w:eastAsia="仿宋" w:cs="仿宋"/>
          <w:color w:val="000000"/>
          <w:sz w:val="32"/>
          <w:szCs w:val="32"/>
        </w:rPr>
        <w:br w:type="textWrapping"/>
      </w:r>
      <w:r>
        <w:rPr>
          <w:rFonts w:hint="eastAsia" w:ascii="仿宋" w:hAnsi="仿宋" w:eastAsia="仿宋" w:cs="仿宋"/>
          <w:color w:val="000000"/>
          <w:sz w:val="32"/>
          <w:szCs w:val="32"/>
        </w:rPr>
        <w:t xml:space="preserve">       (六)</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年部门综合预算一般公共预算支出明细表（按经济分类科目分）</w:t>
      </w:r>
      <w:r>
        <w:rPr>
          <w:rFonts w:hint="eastAsia" w:ascii="仿宋" w:hAnsi="仿宋" w:eastAsia="仿宋" w:cs="仿宋"/>
          <w:color w:val="000000"/>
          <w:sz w:val="32"/>
          <w:szCs w:val="32"/>
        </w:rPr>
        <w:br w:type="textWrapping"/>
      </w:r>
      <w:r>
        <w:rPr>
          <w:rFonts w:hint="eastAsia" w:ascii="仿宋" w:hAnsi="仿宋" w:eastAsia="仿宋" w:cs="仿宋"/>
          <w:color w:val="000000"/>
          <w:sz w:val="32"/>
          <w:szCs w:val="32"/>
        </w:rPr>
        <w:t xml:space="preserve">      （七）</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年部门综合预算一般公共预算基本支出明细表（按支出功能分类科目）</w:t>
      </w:r>
    </w:p>
    <w:p>
      <w:pPr>
        <w:tabs>
          <w:tab w:val="left" w:pos="0"/>
        </w:tabs>
        <w:ind w:firstLine="960" w:firstLineChars="300"/>
        <w:jc w:val="left"/>
        <w:rPr>
          <w:rFonts w:hint="eastAsia" w:ascii="仿宋" w:hAnsi="仿宋" w:eastAsia="仿宋" w:cs="仿宋"/>
          <w:color w:val="000000"/>
          <w:sz w:val="32"/>
          <w:szCs w:val="32"/>
        </w:rPr>
      </w:pPr>
      <w:r>
        <w:rPr>
          <w:rFonts w:hint="eastAsia" w:ascii="仿宋" w:hAnsi="仿宋" w:eastAsia="仿宋" w:cs="仿宋"/>
          <w:color w:val="000000"/>
          <w:sz w:val="32"/>
          <w:szCs w:val="32"/>
        </w:rPr>
        <w:t>(八)</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年部门综合预算一般公共预算基本支出明细表（按支出经济分类科目）</w:t>
      </w:r>
    </w:p>
    <w:p>
      <w:pPr>
        <w:tabs>
          <w:tab w:val="left" w:pos="0"/>
        </w:tabs>
        <w:ind w:firstLine="960" w:firstLineChars="300"/>
        <w:jc w:val="left"/>
        <w:rPr>
          <w:rFonts w:hint="eastAsia" w:ascii="仿宋" w:hAnsi="仿宋" w:eastAsia="仿宋" w:cs="仿宋"/>
          <w:color w:val="000000"/>
          <w:sz w:val="32"/>
          <w:szCs w:val="32"/>
        </w:rPr>
      </w:pPr>
      <w:r>
        <w:rPr>
          <w:rFonts w:hint="eastAsia" w:ascii="仿宋" w:hAnsi="仿宋" w:eastAsia="仿宋" w:cs="仿宋"/>
          <w:color w:val="000000"/>
          <w:sz w:val="32"/>
          <w:szCs w:val="32"/>
        </w:rPr>
        <w:t>(九)</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年部门综合预算政府性基金预算支出明细表（按功能科目分）</w:t>
      </w:r>
    </w:p>
    <w:p>
      <w:pPr>
        <w:tabs>
          <w:tab w:val="left" w:pos="0"/>
        </w:tabs>
        <w:ind w:firstLine="960" w:firstLineChars="300"/>
        <w:jc w:val="lef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(十) </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年部门综合预算政府性基金预算支出明细表（按经济分类科目分）</w:t>
      </w:r>
    </w:p>
    <w:p>
      <w:pPr>
        <w:tabs>
          <w:tab w:val="left" w:pos="0"/>
        </w:tabs>
        <w:ind w:left="480" w:leftChars="200"/>
        <w:jc w:val="left"/>
        <w:rPr>
          <w:rFonts w:hint="eastAsia" w:ascii="仿宋" w:hAnsi="仿宋" w:eastAsia="仿宋" w:cs="仿宋"/>
          <w:color w:val="000000"/>
          <w:sz w:val="32"/>
          <w:szCs w:val="32"/>
        </w:rPr>
      </w:pPr>
      <w:r>
        <w:rPr>
          <w:rFonts w:hint="eastAsia" w:ascii="仿宋" w:hAnsi="仿宋" w:eastAsia="仿宋" w:cs="仿宋"/>
          <w:color w:val="000000"/>
          <w:sz w:val="32"/>
          <w:szCs w:val="32"/>
        </w:rPr>
        <w:t xml:space="preserve">(十一) </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年部门综合预算一般公共预算拨款“三公”经费及会议费、培训费支出预算表</w:t>
      </w:r>
    </w:p>
    <w:p>
      <w:pPr>
        <w:tabs>
          <w:tab w:val="left" w:pos="0"/>
        </w:tabs>
        <w:ind w:firstLine="960" w:firstLineChars="300"/>
        <w:jc w:val="left"/>
        <w:rPr>
          <w:rFonts w:hint="eastAsia" w:ascii="仿宋" w:hAnsi="仿宋" w:eastAsia="仿宋" w:cs="仿宋"/>
          <w:color w:val="000000"/>
          <w:sz w:val="32"/>
          <w:szCs w:val="32"/>
        </w:rPr>
      </w:pPr>
      <w:r>
        <w:rPr>
          <w:rFonts w:hint="eastAsia" w:ascii="仿宋" w:hAnsi="仿宋" w:eastAsia="仿宋" w:cs="仿宋"/>
          <w:color w:val="000000"/>
          <w:sz w:val="32"/>
          <w:szCs w:val="32"/>
        </w:rPr>
        <w:t>(十二)</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年部门综合预算政府采购（资产配置、购买服务）预算表</w:t>
      </w:r>
      <w:r>
        <w:rPr>
          <w:rFonts w:hint="eastAsia" w:ascii="仿宋" w:hAnsi="仿宋" w:eastAsia="仿宋" w:cs="仿宋"/>
          <w:color w:val="000000"/>
          <w:sz w:val="32"/>
          <w:szCs w:val="32"/>
        </w:rPr>
        <w:br w:type="textWrapping"/>
      </w:r>
      <w:r>
        <w:rPr>
          <w:rFonts w:hint="eastAsia" w:ascii="仿宋" w:hAnsi="仿宋" w:eastAsia="仿宋" w:cs="仿宋"/>
          <w:color w:val="000000"/>
          <w:sz w:val="32"/>
          <w:szCs w:val="32"/>
        </w:rPr>
        <w:t xml:space="preserve">      (十三) </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年部门综合预算专项资金明细表</w:t>
      </w:r>
    </w:p>
    <w:p>
      <w:pPr>
        <w:tabs>
          <w:tab w:val="left" w:pos="0"/>
        </w:tabs>
        <w:ind w:firstLine="960" w:firstLineChars="300"/>
        <w:jc w:val="left"/>
        <w:rPr>
          <w:rFonts w:hint="eastAsia" w:ascii="仿宋" w:hAnsi="仿宋" w:eastAsia="仿宋" w:cs="仿宋"/>
          <w:color w:val="000000"/>
          <w:sz w:val="32"/>
          <w:szCs w:val="32"/>
        </w:rPr>
      </w:pPr>
      <w:r>
        <w:rPr>
          <w:rFonts w:hint="eastAsia" w:ascii="仿宋" w:hAnsi="仿宋" w:eastAsia="仿宋" w:cs="仿宋"/>
          <w:color w:val="000000"/>
          <w:sz w:val="32"/>
          <w:szCs w:val="32"/>
        </w:rPr>
        <w:t>（十四）</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年部门整体支出绩效目标表</w:t>
      </w:r>
    </w:p>
    <w:p>
      <w:pPr>
        <w:tabs>
          <w:tab w:val="left" w:pos="0"/>
        </w:tabs>
        <w:ind w:firstLine="960" w:firstLineChars="300"/>
        <w:jc w:val="left"/>
        <w:rPr>
          <w:rFonts w:hint="eastAsia" w:ascii="仿宋" w:hAnsi="仿宋" w:eastAsia="仿宋" w:cs="仿宋"/>
          <w:color w:val="000000"/>
          <w:sz w:val="32"/>
          <w:szCs w:val="32"/>
        </w:rPr>
      </w:pPr>
      <w:r>
        <w:rPr>
          <w:rFonts w:hint="eastAsia" w:ascii="仿宋" w:hAnsi="仿宋" w:eastAsia="仿宋" w:cs="仿宋"/>
          <w:color w:val="000000"/>
          <w:sz w:val="32"/>
          <w:szCs w:val="32"/>
        </w:rPr>
        <w:t>（十五）</w:t>
      </w:r>
      <w:r>
        <w:rPr>
          <w:rFonts w:hint="eastAsia" w:ascii="仿宋" w:hAnsi="仿宋" w:eastAsia="仿宋" w:cs="仿宋"/>
          <w:color w:val="000000"/>
          <w:sz w:val="32"/>
          <w:szCs w:val="32"/>
          <w:lang w:val="en-US" w:eastAsia="zh-CN"/>
        </w:rPr>
        <w:t>2020</w:t>
      </w:r>
      <w:r>
        <w:rPr>
          <w:rFonts w:hint="eastAsia" w:ascii="仿宋" w:hAnsi="仿宋" w:eastAsia="仿宋" w:cs="仿宋"/>
          <w:color w:val="000000"/>
          <w:sz w:val="32"/>
          <w:szCs w:val="32"/>
        </w:rPr>
        <w:t>年专项资金整体绩效目标表</w:t>
      </w:r>
    </w:p>
    <w:p>
      <w:pPr>
        <w:jc w:val="left"/>
        <w:rPr>
          <w:rFonts w:ascii="仿宋_GB2312" w:eastAsia="仿宋_GB2312"/>
          <w:bCs/>
          <w:color w:val="000000"/>
          <w:sz w:val="32"/>
          <w:szCs w:val="32"/>
        </w:rPr>
      </w:pPr>
    </w:p>
    <w:p>
      <w:pPr>
        <w:spacing w:line="360" w:lineRule="auto"/>
        <w:ind w:firstLine="640"/>
        <w:jc w:val="left"/>
        <w:rPr>
          <w:rFonts w:ascii="仿宋" w:hAnsi="仿宋" w:eastAsia="仿宋" w:cs="仿宋"/>
          <w:sz w:val="32"/>
          <w:szCs w:val="32"/>
        </w:rPr>
      </w:pPr>
    </w:p>
    <w:sectPr>
      <w:headerReference r:id="rId5" w:type="first"/>
      <w:footerReference r:id="rId8" w:type="first"/>
      <w:headerReference r:id="rId3" w:type="default"/>
      <w:footerReference r:id="rId6" w:type="default"/>
      <w:headerReference r:id="rId4" w:type="even"/>
      <w:footerReference r:id="rId7" w:type="even"/>
      <w:pgSz w:w="11906" w:h="16838"/>
      <w:pgMar w:top="1440" w:right="1800" w:bottom="1440" w:left="1800" w:header="851" w:footer="992" w:gutter="0"/>
      <w:pgNumType w:fmt="numberInDash" w:start="6"/>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微软雅黑"/>
    <w:panose1 w:val="020F0502020204030204"/>
    <w:charset w:val="00"/>
    <w:family w:val="swiss"/>
    <w:pitch w:val="default"/>
    <w:sig w:usb0="00000000" w:usb1="00000000" w:usb2="00000001" w:usb3="00000000" w:csb0="0000019F" w:csb1="00000000"/>
  </w:font>
  <w:font w:name="仿宋">
    <w:altName w:val="微软雅黑"/>
    <w:panose1 w:val="02010609060101010101"/>
    <w:charset w:val="86"/>
    <w:family w:val="modern"/>
    <w:pitch w:val="default"/>
    <w:sig w:usb0="00000000" w:usb1="00000000"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微软雅黑">
    <w:panose1 w:val="020B0503020204020204"/>
    <w:charset w:val="86"/>
    <w:family w:val="auto"/>
    <w:pitch w:val="default"/>
    <w:sig w:usb0="80000287" w:usb1="1A0F3C52" w:usb2="00000010" w:usb3="00000000" w:csb0="0004001F" w:csb1="00000000"/>
  </w:font>
  <w:font w:name="Tahoma">
    <w:panose1 w:val="020B0604030504040204"/>
    <w:charset w:val="00"/>
    <w:family w:val="auto"/>
    <w:pitch w:val="default"/>
    <w:sig w:usb0="61007A87" w:usb1="80000000" w:usb2="00000008"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r>
      <w:pict>
        <v:shape id="_x0000_s1026" o:spid="_x0000_s1026" o:spt="202" type="#_x0000_t202" style="position:absolute;left:0pt;margin-top:-2.3pt;height:21.1pt;width:80pt;mso-position-horizontal:outside;mso-position-horizontal-relative:margin;z-index:251658240;mso-width-relative:page;mso-height-relative:page;" filled="f" stroked="f" coordsize="21600,21600" o:gfxdata="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">
          <v:path/>
          <v:fill on="f" focussize="0,0"/>
          <v:stroke on="f" weight="0.5pt" joinstyle="miter"/>
          <v:imagedata o:title=""/>
          <o:lock v:ext="edit"/>
          <v:textbox inset="0mm,0mm,0mm,0mm">
            <w:txbxContent>
              <w:p>
                <w:pPr>
                  <w:pStyle w:val="2"/>
                  <w:ind w:firstLine="0" w:firstLineChars="0"/>
                  <w:rPr>
                    <w:sz w:val="28"/>
                    <w:szCs w:val="44"/>
                  </w:rPr>
                </w:pPr>
              </w:p>
            </w:txbxContent>
          </v:textbox>
        </v:shape>
      </w:pic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ind w:firstLine="360"/>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ind w:firstLine="360"/>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41F8E6"/>
    <w:multiLevelType w:val="singleLevel"/>
    <w:tmpl w:val="1141F8E6"/>
    <w:lvl w:ilvl="0" w:tentative="0">
      <w:start w:val="3"/>
      <w:numFmt w:val="chineseCounting"/>
      <w:lvlText w:val="(%1)"/>
      <w:lvlJc w:val="left"/>
      <w:pPr>
        <w:tabs>
          <w:tab w:val="left" w:pos="312"/>
        </w:tabs>
        <w:ind w:left="960" w:firstLine="0"/>
      </w:pPr>
      <w:rPr>
        <w:rFonts w:hint="eastAsia"/>
      </w:rPr>
    </w:lvl>
  </w:abstractNum>
  <w:abstractNum w:abstractNumId="1">
    <w:nsid w:val="229765EF"/>
    <w:multiLevelType w:val="singleLevel"/>
    <w:tmpl w:val="229765EF"/>
    <w:lvl w:ilvl="0" w:tentative="0">
      <w:start w:val="4"/>
      <w:numFmt w:val="chineseCounting"/>
      <w:suff w:val="nothing"/>
      <w:lvlText w:val="%1、"/>
      <w:lvlJc w:val="left"/>
      <w:rPr>
        <w:rFonts w:hint="eastAsia"/>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1"/>
    </o:shapelayout>
  </w:hdrShapeDefaults>
  <w:compat>
    <w:spaceForUL/>
    <w:balanceSingleByteDoubleByteWidth/>
    <w:doNotLeaveBackslashAlone/>
    <w:ulTrailSpace/>
    <w:doNotExpandShiftReturn/>
    <w:adjustLineHeightInTable/>
    <w:useFELayout/>
    <w:compatSetting w:name="compatibilityMode" w:uri="http://schemas.microsoft.com/office/word" w:val="12"/>
  </w:compat>
  <w:rsids>
    <w:rsidRoot w:val="1ED0381D"/>
    <w:rsid w:val="00021752"/>
    <w:rsid w:val="000562DC"/>
    <w:rsid w:val="005F0B4E"/>
    <w:rsid w:val="00670DA4"/>
    <w:rsid w:val="009B6591"/>
    <w:rsid w:val="00A6254D"/>
    <w:rsid w:val="00E047B3"/>
    <w:rsid w:val="00F474A1"/>
    <w:rsid w:val="00F61A77"/>
    <w:rsid w:val="00F63694"/>
    <w:rsid w:val="06495909"/>
    <w:rsid w:val="0CEF7702"/>
    <w:rsid w:val="16875F9D"/>
    <w:rsid w:val="17EE34C6"/>
    <w:rsid w:val="1ED0381D"/>
    <w:rsid w:val="34DA761D"/>
    <w:rsid w:val="5C546F19"/>
    <w:rsid w:val="680A78E7"/>
    <w:rsid w:val="69CA048D"/>
    <w:rsid w:val="6DC30C3A"/>
    <w:rsid w:val="70527932"/>
    <w:rsid w:val="737F2596"/>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spacing w:line="366" w:lineRule="exact"/>
      <w:ind w:firstLine="200" w:firstLineChars="200"/>
      <w:jc w:val="both"/>
    </w:pPr>
    <w:rPr>
      <w:rFonts w:ascii="Times New Roman" w:hAnsi="Times New Roman" w:eastAsia="宋体" w:cs="Times New Roman"/>
      <w:kern w:val="2"/>
      <w:sz w:val="24"/>
      <w:szCs w:val="24"/>
      <w:lang w:val="en-US" w:eastAsia="zh-CN" w:bidi="ar-SA"/>
    </w:rPr>
  </w:style>
  <w:style w:type="character" w:default="1" w:styleId="6">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pPr>
    <w:rPr>
      <w:sz w:val="18"/>
    </w:rPr>
  </w:style>
  <w:style w:type="paragraph" w:styleId="4">
    <w:name w:val="Normal (Web)"/>
    <w:basedOn w:val="1"/>
    <w:qFormat/>
    <w:uiPriority w:val="0"/>
    <w:pPr>
      <w:pBdr>
        <w:top w:val="none" w:color="auto" w:sz="0" w:space="0"/>
        <w:left w:val="none" w:color="auto" w:sz="0" w:space="0"/>
        <w:bottom w:val="none" w:color="auto" w:sz="0" w:space="0"/>
        <w:right w:val="none" w:color="auto" w:sz="0" w:space="0"/>
      </w:pBdr>
      <w:spacing w:before="0" w:beforeAutospacing="0" w:after="0" w:afterAutospacing="0"/>
      <w:ind w:left="0" w:right="0"/>
      <w:jc w:val="left"/>
    </w:pPr>
    <w:rPr>
      <w:kern w:val="0"/>
      <w:sz w:val="24"/>
      <w:lang w:val="en-US" w:eastAsia="zh-CN" w:bidi="ar"/>
    </w:rPr>
  </w:style>
</w:styles>
</file>

<file path=word/_rels/document.xml.rels><?xml version="1.0" encoding="UTF-8" standalone="yes"?>
<Relationships xmlns="http://schemas.openxmlformats.org/package/2006/relationships"><Relationship Id="rId9" Type="http://schemas.openxmlformats.org/officeDocument/2006/relationships/theme" Target="theme/theme1.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3" Type="http://schemas.openxmlformats.org/officeDocument/2006/relationships/fontTable" Target="fontTable.xml"/><Relationship Id="rId12" Type="http://schemas.openxmlformats.org/officeDocument/2006/relationships/numbering" Target="numbering.xml"/><Relationship Id="rId11" Type="http://schemas.openxmlformats.org/officeDocument/2006/relationships/customXml" Target="../customXml/item1.xml"/><Relationship Id="rId10" Type="http://schemas.openxmlformats.org/officeDocument/2006/relationships/image" Target="media/image1.emf"/><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CCE8C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13</Pages>
  <Words>854</Words>
  <Characters>4869</Characters>
  <Lines>40</Lines>
  <Paragraphs>11</Paragraphs>
  <TotalTime>375</TotalTime>
  <ScaleCrop>false</ScaleCrop>
  <LinksUpToDate>false</LinksUpToDate>
  <CharactersWithSpaces>5712</CharactersWithSpaces>
  <Application>WPS Office_11.1.0.9584_F1E327BC-269C-435d-A152-05C5408002CA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2019-11-29T08:56:00Z</dcterms:created>
  <dc:creator>郭超(拟稿)</dc:creator>
  <cp:lastModifiedBy>A爱诺蓉蓉15319949371</cp:lastModifiedBy>
  <cp:lastPrinted>2020-01-06T07:32:00Z</cp:lastPrinted>
  <dcterms:modified xsi:type="dcterms:W3CDTF">2020-03-25T07:17:09Z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2052-11.1.0.9584</vt:lpwstr>
  </property>
</Properties>
</file>