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360" w:lineRule="auto"/>
        <w:ind w:firstLineChars="0" w:firstLine="0"/>
        <w:jc w:val="left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附件1</w:t>
      </w:r>
    </w:p>
    <w:p>
      <w:pPr>
        <w:adjustRightInd w:val="0"/>
        <w:snapToGrid w:val="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蓝田县汤峪镇人民政府</w:t>
      </w:r>
    </w:p>
    <w:p>
      <w:pPr>
        <w:adjustRightInd w:val="0"/>
        <w:snapToGrid w:val="0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2020年部门综合预算说明</w:t>
      </w:r>
    </w:p>
    <w:p>
      <w:pPr>
        <w:spacing w:line="360" w:lineRule="auto"/>
        <w:jc w:val="center"/>
        <w:rPr>
          <w:rFonts w:ascii="仿宋" w:eastAsia="仿宋" w:cs="仿宋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第一部分  部门概况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一、部门主要职责及机构设置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1、贯彻落实党和国家的路线、方针、政策；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2、制定和实施经济发展规划、计划；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3、加强政策引导，推进农业和农村经济结构调整，提高农业生产综合能力；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4、制定和实施社会事业发展规划，建立健全保障机制，促进社会事业发展；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5、加强社会管理，维护社会稳定，规范农村集体经济管理，推进政务、村务公开；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6、抓好人口和计划生育工作，保障妇女儿童合法权益；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7、加强安全生产和公共安全，组织抢险救灾、优抚救助，及时上报和处置重大社情、疫情、险情，保护人民群众的生命财产安全；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8、发展社会公共事业和集体公益事业，加强社会化服务体系建设，提高公共服务水平；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9、加强应急工作机制建设，保障公共安全，负责抗灾抢险和突发事件处理工作；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10、强化道德法制建设，提高公民整体素质；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11、加强政府自身建设，进一步巩固农村基层政权。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 xml:space="preserve">12、执行本行政区域内的经济和社会发展规划、预算。 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13、负责本行政区域内的经济和社会发展统计工作。  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14、办理上级人民政府交办的其它事项。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二、2020年度部门工作任务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在县委、县政府的坚强领导下，全面贯彻落实党的十九大精神，以习近平新时代中国特色社会主义思想为指导，紧盯“追赶超越”目标，对标“五个扎实”要求，围绕“人文山水蓝田，丝路生态慢城”建设方向，全力打造县域副中心。坚定不移地走“绿水青山就是金山银山”的绿色生态发展之路，以脱贫攻坚统揽工作全局，以“作风提升年”为主题，以基层组织建设为保障，全力加快汤峪国家级特色小镇、省级重点示范镇，推进镇域经济社会的快速发展。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三、部门预算单位构成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从预算单位构成看，本部门的部门预算包括部门本级（机关）预算和所属事业单位预算。</w:t>
      </w:r>
    </w:p>
    <w:p>
      <w:pPr>
        <w:widowControl/>
        <w:shd w:val="clear" w:color="auto" w:fill="FFFFFF"/>
        <w:jc w:val="left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/>
          <w:sz w:val="32"/>
          <w:szCs w:val="32"/>
        </w:rPr>
        <w:t>纳入本部门201</w:t>
      </w:r>
      <w:r>
        <w:rPr>
          <w:rFonts w:ascii="仿宋" w:eastAsia="仿宋" w:cs="仿宋" w:hint="eastAsia"/>
          <w:sz w:val="32"/>
          <w:szCs w:val="32"/>
        </w:rPr>
        <w:t>9</w:t>
      </w:r>
      <w:r>
        <w:rPr>
          <w:rFonts w:ascii="仿宋" w:eastAsia="仿宋" w:cs="仿宋"/>
          <w:sz w:val="32"/>
          <w:szCs w:val="32"/>
        </w:rPr>
        <w:t>年部门预算编制范围的二级预算单位共有5个，包括：  </w:t>
      </w:r>
    </w:p>
    <w:tbl>
      <w:tblPr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5858"/>
      </w:tblGrid>
      <w:tr>
        <w:tc>
          <w:tcPr>
            <w:tcW w:w="8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序号</w:t>
            </w:r>
          </w:p>
        </w:tc>
        <w:tc>
          <w:tcPr>
            <w:tcW w:w="58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单位名称</w:t>
            </w:r>
          </w:p>
        </w:tc>
      </w:tr>
      <w:tr>
        <w:tc>
          <w:tcPr>
            <w:tcW w:w="8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1</w:t>
            </w:r>
          </w:p>
        </w:tc>
        <w:tc>
          <w:tcPr>
            <w:tcW w:w="58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蓝田县汤峪镇人民政府（本级）</w:t>
            </w:r>
          </w:p>
        </w:tc>
      </w:tr>
      <w:tr>
        <w:tc>
          <w:tcPr>
            <w:tcW w:w="8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2</w:t>
            </w:r>
          </w:p>
        </w:tc>
        <w:tc>
          <w:tcPr>
            <w:tcW w:w="58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蓝田县汤峪镇农业综合服务中心</w:t>
            </w:r>
          </w:p>
        </w:tc>
      </w:tr>
      <w:tr>
        <w:tc>
          <w:tcPr>
            <w:tcW w:w="8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3</w:t>
            </w:r>
          </w:p>
        </w:tc>
        <w:tc>
          <w:tcPr>
            <w:tcW w:w="58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蓝田县汤峪镇社会事务服务所</w:t>
            </w:r>
          </w:p>
        </w:tc>
      </w:tr>
      <w:tr>
        <w:tc>
          <w:tcPr>
            <w:tcW w:w="8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4</w:t>
            </w:r>
          </w:p>
        </w:tc>
        <w:tc>
          <w:tcPr>
            <w:tcW w:w="58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蓝田县汤峪镇计划生育技术服务中心</w:t>
            </w:r>
          </w:p>
        </w:tc>
      </w:tr>
      <w:tr>
        <w:trPr>
          <w:trHeight w:val="201"/>
        </w:trPr>
        <w:tc>
          <w:tcPr>
            <w:tcW w:w="86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5</w:t>
            </w:r>
          </w:p>
        </w:tc>
        <w:tc>
          <w:tcPr>
            <w:tcW w:w="58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</w:pPr>
            <w:r>
              <w:rPr>
                <w:rFonts w:ascii="微软雅黑" w:cs="宋体" w:hAnsi="微软雅黑"/>
                <w:color w:val="3D3D3C"/>
                <w:kern w:val="0"/>
                <w:sz w:val="18"/>
                <w:szCs w:val="18"/>
              </w:rPr>
              <w:t> 蓝田县汤峪镇林业服务站</w:t>
            </w:r>
          </w:p>
        </w:tc>
      </w:tr>
    </w:tbl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四、部门人员情况说明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文字说明，并列图表（人员情况柱状图或饼状图）。</w:t>
      </w:r>
    </w:p>
    <w:p>
      <w:pPr>
        <w:spacing w:line="360" w:lineRule="auto"/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示例：截止2019年底，本部门人员编制73人，其中行政编制40人、事业编制33人；实有人员75人，其中行政34人、事业41人。单位管理的离退休人员0人。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drawing>
          <wp:inline distT="0" distB="0" distL="0" distR="0">
            <wp:extent cx="4924425" cy="2305050"/>
            <wp:effectExtent l="0" t="0" r="0" b="0"/>
            <wp:docPr id="1" name="对象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对象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24425" cy="2305050"/>
                    </a:xfrm>
                    <a:prstGeom prst="rect"/>
                    <a:ln w="9525" cmpd="sng" cap="flat">
                      <a:solidFill>
                        <a:srgbClr val="000000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第二部分  收支情况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五、2020年部门预算收支说明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（一）收支预算总体情况。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按照综合预算的原则，本部门所有收入和支出均纳入部门预算管理。2020年本部门预算收入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万元，其中一般公共预算拨款收入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万元、政府性基金拨款收入0万元。2020年本部门预算收入较上年减少229.22万元，主要原因是减少村级干部工资，本年度村干部工资改由县委组织部预算；2020年本部门预算支出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万元，其中一般公共预算拨款支出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万元、政府性基金拨款支出0万元</w:t>
      </w:r>
      <w:r>
        <w:rPr>
          <w:rFonts w:ascii="仿宋" w:eastAsia="仿宋" w:cs="仿宋"/>
          <w:sz w:val="32"/>
          <w:szCs w:val="32"/>
        </w:rPr>
        <w:t>。</w:t>
      </w:r>
      <w:r>
        <w:rPr>
          <w:rFonts w:ascii="仿宋" w:eastAsia="仿宋" w:cs="仿宋" w:hint="eastAsia"/>
          <w:sz w:val="32"/>
          <w:szCs w:val="32"/>
        </w:rPr>
        <w:t>2020年本部门预算支出较上年减少229.22万元，主要原因是减少村级干部工资，本年度村干部工资改由县委组织部预算。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（二）财政拨款收支情况。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2020年本部门预算收入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万元，其中一般公共预算拨款收入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万元、政府性基金拨款收入0万元。2020年本部门预算收入较上年减少229.22万元，主要原因是减少村级干部工资，本年度村干部工资改由县委组织部预算；2020年本部门预算支出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万元，其中一般公共预算拨款支出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万元、政府性基金拨款支出0万元.2020年本部门预算支出较上年减少229.22万元，主要原因是减少村级干部工资，本年度村干部工资改由县委组织部预算。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（三）一般公共预算拨款支出明细情况。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1、</w:t>
      </w:r>
      <w:r>
        <w:rPr>
          <w:rFonts w:ascii="仿宋" w:eastAsia="仿宋" w:cs="仿宋" w:hint="eastAsia"/>
          <w:sz w:val="32"/>
          <w:szCs w:val="32"/>
        </w:rPr>
        <w:t>一般公共预算当年拨款规模变化情况。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2020年本部门当年一般公共预算拨款支出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万元，较上年减少229.22万元，主要原因是减少村级干部工资，本年度村干部工资改由县委组织部预算。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2、</w:t>
      </w:r>
      <w:r>
        <w:rPr>
          <w:rFonts w:ascii="仿宋" w:eastAsia="仿宋" w:cs="仿宋" w:hint="eastAsia"/>
          <w:sz w:val="32"/>
          <w:szCs w:val="32"/>
        </w:rPr>
        <w:t>支出按功能科目分类的明细情况。</w:t>
      </w:r>
    </w:p>
    <w:p>
      <w:pPr>
        <w:spacing w:line="360" w:lineRule="auto"/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本部门2020年当年一般公共预算支出</w:t>
      </w:r>
      <w:r>
        <w:rPr>
          <w:rFonts w:ascii="仿宋" w:eastAsia="仿宋" w:cs="仿宋"/>
          <w:sz w:val="32"/>
          <w:szCs w:val="32"/>
        </w:rPr>
        <w:t>782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55</w:t>
      </w:r>
      <w:r>
        <w:rPr>
          <w:rFonts w:ascii="仿宋" w:eastAsia="仿宋" w:cs="仿宋" w:hint="eastAsia"/>
          <w:sz w:val="32"/>
          <w:szCs w:val="32"/>
        </w:rPr>
        <w:t>万元，其中：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（1）其他人大事务支出（2010199）2020年度预算支出1万元，较上年无增减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（2）行政运行（2010301）2020年度预算支出</w:t>
      </w:r>
      <w:r>
        <w:rPr>
          <w:rFonts w:ascii="仿宋" w:eastAsia="仿宋" w:cs="仿宋"/>
          <w:sz w:val="32"/>
          <w:szCs w:val="32"/>
        </w:rPr>
        <w:t>247</w:t>
      </w:r>
      <w:r>
        <w:rPr>
          <w:rFonts w:ascii="仿宋" w:eastAsia="仿宋" w:cs="仿宋" w:hint="eastAsia"/>
          <w:sz w:val="32"/>
          <w:szCs w:val="32"/>
        </w:rPr>
        <w:t>.</w:t>
      </w:r>
      <w:r>
        <w:rPr>
          <w:rFonts w:ascii="仿宋" w:eastAsia="仿宋" w:cs="仿宋"/>
          <w:sz w:val="32"/>
          <w:szCs w:val="32"/>
        </w:rPr>
        <w:t>18</w:t>
      </w:r>
      <w:r>
        <w:rPr>
          <w:rFonts w:ascii="仿宋" w:eastAsia="仿宋" w:cs="仿宋" w:hint="eastAsia"/>
          <w:sz w:val="32"/>
          <w:szCs w:val="32"/>
        </w:rPr>
        <w:t>万元，2019年度预算支出342.93万元较上年增加减少95.75万元，减少27%。减少原因是由单位承担的养老保险及医疗保险从行政运行科目分离；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（3）事业运行财政事务（2010650）2020年预算支出2万元，较上年无增减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（4）其他纪检监察事务支出（2011199）2020年预算支出5万元，较上年无增减</w:t>
      </w:r>
    </w:p>
    <w:p>
      <w:pPr>
        <w:rPr>
          <w:rFonts w:ascii="宋体" w:cs="宋体"/>
          <w:kern w:val="0"/>
          <w:sz w:val="18"/>
          <w:szCs w:val="18"/>
        </w:rPr>
      </w:pP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（5）（2012999）其他群众团体事务支出2020年预算支出2万元，较上年无增减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（6）其他党委办公厅（室）及相关机构事务支出（2013199）2020年预算支出2万元，较上年无增减</w:t>
      </w:r>
    </w:p>
    <w:p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（7）群众文化（2070109）2020年预算支出91.69万元2019年预算支出79.86万元，较上年增加11.83万元，较上年增加14%，主要原因是增加人员绩效总量、人员调资及人员正常调动导致增加。</w:t>
      </w:r>
    </w:p>
    <w:p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（8）综合业务管理（2080104）2020年预算支出91.36万元2019年预算支出62.51万元，较上年增加28.85万元较上年度增加较上年度增加46%，主要原因是增加人员绩效总量、人员调资及人员正常调动导致增加。</w:t>
      </w:r>
    </w:p>
    <w:p>
      <w:pPr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（9）基层政权和社区建设（2080208）2020年预算支出2.156万元较上年增加2.156万元，较上年度增加100%，主要原因是上年度无基层政权和社区建设预算。</w:t>
      </w:r>
    </w:p>
    <w:p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（10）机关事业单位基本养老保险缴费支出（2080505）76.176万元较上年增加76.176万元，较上年度增加100%，主要原因是上年度机关事业单位养老保险在（2010301）行政运行科目中预算。</w:t>
      </w:r>
    </w:p>
    <w:p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（11）其他计划生育事务支出（2100799）106.18万元较上年增加37.12万元较上年度增加53%，主要原因是新招录事业人员增加及绩效总量和人员正常调资的增加。</w:t>
      </w:r>
    </w:p>
    <w:p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（12）行政单位医疗（2101101）17.89万元较上年增加17.89万元，较上年度增加100%，主要原因是上年度行政单位医疗在（2010301）行政运行科目中预算。</w:t>
      </w:r>
    </w:p>
    <w:p>
      <w:pPr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（13）公务员医疗补助（2101103）0.84万元较上年增加0.84万元，较上年度增加100%。主要原因是上年度公务员医疗补助在（2010301）行政运行科目中预算。</w:t>
      </w:r>
    </w:p>
    <w:p>
      <w:pPr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（14）其他卫生健康支出（2109901）3.05万元较上年增加3.05万元，较上年度增加100%。主要原因是上年度其他卫生健康支出在（2010301）行政运行科目中预算。</w:t>
      </w:r>
    </w:p>
    <w:p>
      <w:pPr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（15）事业运行农业（2130104）2020年预算支出41.75万元2019年预算支出52.42万元较上年度减少10.67万元较上年度减少20%，主要原因是农业人员调动减少。</w:t>
      </w:r>
    </w:p>
    <w:p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（16）事业机构林业（2130204）2020年预算支出32.24万元2019年预算支出46.53较上年度减少14.29万元，较上年度减少30%。主要原因是林业人员调动减少。</w:t>
      </w:r>
    </w:p>
    <w:p>
      <w:pPr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（17）对村民委员会和村党支部的补助（2130705）2020年预算支出55万元较上年度无增减。</w:t>
      </w:r>
    </w:p>
    <w:p>
      <w:pPr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（18）安全监管（2240106）2020年预算支出5万元，较上年度增加5万元，原因是上年度为预算安全监管经费。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3、</w:t>
      </w:r>
      <w:r>
        <w:rPr>
          <w:rFonts w:ascii="仿宋" w:eastAsia="仿宋" w:cs="仿宋" w:hint="eastAsia"/>
          <w:sz w:val="32"/>
          <w:szCs w:val="32"/>
        </w:rPr>
        <w:t>支出按经济科目分类的明细情况。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2020年本部门当年一般公共预算支出782.55万元，其中：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工资福利支出（301）2020年预算支出610.68万元，2019年预算支出559.16较上年增加51.52万元，增加9%，原因是人员正常调资及新招录事业及公务员工资增加；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商品和服务支出（302）2020年预算支出152.06万元，2019年预算支出148.64万元较上年增加3.42万元，原因是由于新招录事业人员及公务员增加，所以对应的公用经费增加；</w:t>
      </w:r>
    </w:p>
    <w:p>
      <w:pPr>
        <w:spacing w:line="360" w:lineRule="auto"/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对个人和家庭的补助支出（303）2020年预算支出19.80万元，2019年预算支出303.97万元较上年减少284.17万元，减少93%，原因是村级干部工资不在乡镇政府预算中体现改由县委组织部预算；</w:t>
      </w:r>
      <w:bookmarkStart w:id="0" w:name="_GoBack"/>
      <w:bookmarkEnd w:id="0"/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2020年本部门当年一般公共预算支出782.55万元，其中：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机关工资福利支出（501）2020年预算支出252.99万元，（505）2020年预算支出357.69合计610.68万元。2019年预算支出559.16较上年增加51.52万元，原因是人员正常调资及新招录事业及公务员工资增加；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机关商品和服务支出（502）2020年预算支出152.06万元，2019年预算支出148.64万元较上年增加3.42万元，原因是由于新招录事业人员及公务员增加，所以对应的公用经费增加；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社会福利和救助（509）2020年预算支出19.80万元，2019年预算支出303.97万元较上年减少284.17万元，减少93%，原因是村级干部工资不在乡镇政府预算中体现改由县委组织部预算；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4、</w:t>
      </w:r>
      <w:r>
        <w:rPr>
          <w:rFonts w:ascii="仿宋" w:eastAsia="仿宋" w:cs="仿宋" w:hint="eastAsia"/>
          <w:sz w:val="32"/>
          <w:szCs w:val="32"/>
        </w:rPr>
        <w:t>“本部门无2019年结转的一般公共预算拨款资金支出”。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（四）政府性基金预算支出情况。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 xml:space="preserve"> “本部门无当年政府性基金预算收支，并已公开空表”。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 xml:space="preserve"> “本部门无2019年结转的政府性基金预算拨款支出”。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（五）国有资本经营预算拨款收支情况。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 xml:space="preserve"> “本部门无2019年结转的国有资本经营预算拨款支出”。</w:t>
      </w:r>
    </w:p>
    <w:p>
      <w:pPr>
        <w:spacing w:line="360" w:lineRule="auto"/>
        <w:jc w:val="center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第三部分  其他说明情况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六、部门预算“三公”经费等预算情况说明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2020年本部门当年一般公共预算“三公”经费预算支出10万元，较上年减少0.9万元（8%），（减少）的主要原因是公务接待费大幅度减少。其中：公务接待费3万元，较上年减少2.9万元（49%），减少的主要原因是公务接待活动减少；公务用车运行费5万元，较上年增加2万元（66%），增加的主要原因是扶贫及应急车辆使用增多；公务用车购置费0万元，较上年无增减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七、部门国有资产占有使用及资产购置情况说明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截止2019年底，本部门所属预算单位共有车辆2辆，单价20万元以上的设备0台（套）。2020年当年部门预算安排购置车辆0辆；安排购置单价20万元以上的设备0台（套）。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八、部门政府采购情况说明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 xml:space="preserve"> “本部门2020年无政府采购预算，并已公开空表”。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九、部门预算绩效目标说明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2020年本部门绩效目标管理全覆盖，涉及当年一般公共预算拨款782.55万元,当年政府性基金预算拨款0万元，（详见公开报表中的绩效目标表）。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 xml:space="preserve"> “本部门无2019年结转的财政拨款支出涉及的绩效目标管理”。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十、机关运行经费安排说明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本部门当年机关运行经费预算安排78.02万元，较上年增加7.62万元，主要原因是增加安全监管经费及因人员增加导致公用经费增加。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 xml:space="preserve"> “本部门无2019年结转的财政拨款机关运行经费支出”。</w:t>
      </w:r>
    </w:p>
    <w:p>
      <w:pPr>
        <w:spacing w:line="360" w:lineRule="auto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十一、专业名词解释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文字说明，机关运行经费为必须解释的专业名词，其他专业名词解释可由部门根据业务内容等自行选择。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1.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ab/>
        <w:tab/>
      </w:r>
    </w:p>
    <w:p>
      <w:pPr>
        <w:spacing w:line="360" w:lineRule="auto"/>
        <w:jc w:val="center"/>
        <w:rPr>
          <w:rFonts w:ascii="仿宋" w:eastAsia="仿宋" w:cs="仿宋"/>
          <w:b/>
          <w:bCs/>
          <w:sz w:val="32"/>
          <w:szCs w:val="32"/>
        </w:rPr>
      </w:pPr>
      <w:r>
        <w:rPr>
          <w:rFonts w:ascii="仿宋" w:eastAsia="仿宋" w:cs="仿宋" w:hint="eastAsia"/>
          <w:b/>
          <w:bCs/>
          <w:sz w:val="32"/>
          <w:szCs w:val="32"/>
        </w:rPr>
        <w:t>第四部分  公开报表</w:t>
      </w:r>
    </w:p>
    <w:p>
      <w:pPr>
        <w:spacing w:line="360" w:lineRule="auto"/>
        <w:rPr>
          <w:rFonts w:ascii="仿宋" w:eastAsia="仿宋" w:cs="仿宋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后附公开报表</w:t>
      </w:r>
    </w:p>
    <w:sectPr>
      <w:footerReference w:type="default" r:id="rId2"/>
      <w:pgSz w:w="11906" w:h="16838"/>
      <w:pgMar w:top="1440" w:right="1800" w:bottom="1440" w:left="1800" w:header="851" w:footer="992" w:gutter="0"/>
      <w:pgNumType w:fmt="numberInDash" w:start="6"/>
      <w:docGrid w:type="lines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Calibri Light">
    <w:altName w:val="Arial"/>
    <w:panose1 w:val="00000000000000000000"/>
    <w:charset w:val="00"/>
    <w:family w:val="swiss"/>
    <w:pitch w:val="variable"/>
    <w:sig w:usb0="00000000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tbl>
    <w:tblPr>
      <w:tblpPr w:leftFromText="187" w:rightFromText="187" w:vertAnchor="text" w:tblpXSpec="left" w:tblpY="1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Grid>
      <w:gridCol w:w="3835"/>
      <w:gridCol w:w="852"/>
      <w:gridCol w:w="3835"/>
    </w:tblGrid>
    <w:tr>
      <w:trPr>
        <w:trHeight w:val="151"/>
      </w:trPr>
      <w:tc>
        <w:tcPr>
          <w:tcW w:w="2250" w:type="pct"/>
          <w:tcBorders>
            <w:bottom w:val="single" w:sz="4" w:space="0" w:color="5B9BD5"/>
          </w:tcBorders>
        </w:tcPr>
        <w:p>
          <w:pPr>
            <w:pStyle w:val="16"/>
            <w:tabs>
              <w:tab w:val="center" w:pos="4153"/>
              <w:tab w:val="right" w:pos="8306"/>
            </w:tabs>
            <w:rPr>
              <w:rFonts w:ascii="Calibri Light" w:eastAsia="宋体" w:cs="Times New Roman" w:hAnsi="Calibri Light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>
          <w:pPr>
            <w:pStyle w:val="18"/>
            <w:rPr>
              <w:rFonts w:ascii="Calibri Light" w:hAnsi="Calibri Light"/>
            </w:rPr>
          </w:pPr>
          <w:r>
            <w:rPr>
              <w:rFonts w:ascii="Calibri Light" w:hAnsi="Calibri Light"/>
              <w:b/>
              <w:lang w:val="zh-CN"/>
            </w:rPr>
            <w:t xml:space="preserve">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>
            <w:rPr>
              <w:rFonts w:ascii="Calibri Light" w:hAnsi="Calibri Light"/>
              <w:b/>
              <w:lang w:val="zh-CN"/>
            </w:rPr>
            <w:t>-</w:t>
          </w:r>
          <w:r>
            <w:t xml:space="preserve"> 9 -</w:t>
          </w:r>
          <w:r>
            <w:fldChar w:fldCharType="end"/>
          </w:r>
        </w:p>
      </w:tc>
      <w:tc>
        <w:tcPr>
          <w:tcW w:w="2250" w:type="pct"/>
          <w:tcBorders>
            <w:bottom w:val="single" w:sz="4" w:space="0" w:color="5B9BD5"/>
          </w:tcBorders>
        </w:tcPr>
        <w:p>
          <w:pPr>
            <w:pStyle w:val="16"/>
            <w:tabs>
              <w:tab w:val="center" w:pos="4153"/>
              <w:tab w:val="right" w:pos="8306"/>
            </w:tabs>
            <w:rPr>
              <w:rFonts w:ascii="Calibri Light" w:eastAsia="宋体" w:cs="Times New Roman" w:hAnsi="Calibri Light"/>
              <w:b/>
              <w:bCs/>
            </w:rPr>
          </w:pPr>
        </w:p>
      </w:tc>
    </w:tr>
    <w:tr>
      <w:trPr>
        <w:trHeight w:val="150"/>
      </w:trPr>
      <w:tc>
        <w:tcPr>
          <w:tcW w:w="2250" w:type="pct"/>
          <w:tcBorders>
            <w:top w:val="single" w:sz="4" w:space="0" w:color="5B9BD5"/>
          </w:tcBorders>
        </w:tcPr>
        <w:p>
          <w:pPr>
            <w:pStyle w:val="16"/>
            <w:tabs>
              <w:tab w:val="center" w:pos="4153"/>
              <w:tab w:val="right" w:pos="8306"/>
            </w:tabs>
            <w:rPr>
              <w:rFonts w:ascii="Calibri Light" w:eastAsia="宋体" w:cs="Times New Roman" w:hAnsi="Calibri Light"/>
              <w:b/>
              <w:bCs/>
            </w:rPr>
          </w:pPr>
        </w:p>
      </w:tc>
      <w:tc>
        <w:tcPr>
          <w:tcW w:w="500" w:type="pct"/>
          <w:vMerge/>
        </w:tcPr>
        <w:p/>
      </w:tc>
      <w:tc>
        <w:tcPr>
          <w:tcW w:w="2250" w:type="pct"/>
          <w:tcBorders>
            <w:top w:val="single" w:sz="4" w:space="0" w:color="5B9BD5"/>
          </w:tcBorders>
        </w:tcPr>
        <w:p>
          <w:pPr>
            <w:pStyle w:val="16"/>
            <w:tabs>
              <w:tab w:val="center" w:pos="4153"/>
              <w:tab w:val="right" w:pos="8306"/>
            </w:tabs>
            <w:rPr>
              <w:rFonts w:ascii="Calibri Light" w:eastAsia="宋体" w:cs="Times New Roman" w:hAnsi="Calibri Light"/>
              <w:b/>
              <w:bCs/>
            </w:rPr>
          </w:pPr>
        </w:p>
      </w:tc>
    </w:tr>
  </w:tbl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366" w:lineRule="exact"/>
      <w:ind w:firstLineChars="200" w:firstLine="200"/>
      <w:jc w:val="both"/>
    </w:pPr>
    <w:rPr>
      <w:rFonts w:ascii="Times New Roman" w:eastAsia="宋体" w:cs="Times New Roman" w:hAnsi="Times New Roman"/>
      <w:kern w:val="2"/>
      <w:sz w:val="24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7">
    <w:name w:val="Balloon Text"/>
    <w:basedOn w:val="0"/>
    <w:pPr>
      <w:spacing w:line="240" w:lineRule="auto"/>
    </w:pPr>
    <w:rPr>
      <w:sz w:val="18"/>
      <w:szCs w:val="18"/>
    </w:rPr>
  </w:style>
  <w:style w:type="paragraph" w:customStyle="1" w:styleId="18">
    <w:name w:val="No Spacing"/>
    <w:rPr>
      <w:rFonts w:ascii="Calibri" w:eastAsia="宋体" w:cs="Arial" w:hAnsi="Calibr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image" Target="media/2.png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565</TotalTime>
  <Application>Yozo_Office</Application>
  <Pages>9</Pages>
  <Words>3797</Words>
  <Characters>4482</Characters>
  <Lines>212</Lines>
  <Paragraphs>101</Paragraphs>
  <CharactersWithSpaces>4515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郭超(拟稿)</dc:creator>
  <cp:lastModifiedBy>Microsoft</cp:lastModifiedBy>
  <cp:revision>24</cp:revision>
  <cp:lastPrinted>2020-02-04T06:10:00Z</cp:lastPrinted>
  <dcterms:created xsi:type="dcterms:W3CDTF">2019-11-29T08:56:00Z</dcterms:created>
  <dcterms:modified xsi:type="dcterms:W3CDTF">2020-02-08T08:44:08Z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2052-10.8.2.6948</vt:lpwstr>
  </property>
</Properties>
</file>